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78" w:rsidRPr="00510D93" w:rsidRDefault="009E0862" w:rsidP="009E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9E0862" w:rsidRPr="00510D93" w:rsidRDefault="009E0862" w:rsidP="009E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>о реализации проекта «Билет в будущее» в 2018 году на территории Рязанской области</w:t>
      </w:r>
    </w:p>
    <w:p w:rsidR="009E0862" w:rsidRPr="00510D93" w:rsidRDefault="009E0862" w:rsidP="009E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>Проект «Билет в будущее» инициирован Президентом Российской Федерации В.В. Путиным во время встречи с участниками всероссийского форума «Наставник» в феврале 2018 года.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 xml:space="preserve">В 2018 году «Билет в будущее» </w:t>
      </w:r>
      <w:r>
        <w:rPr>
          <w:rFonts w:ascii="Times New Roman" w:hAnsi="Times New Roman" w:cs="Times New Roman"/>
          <w:sz w:val="28"/>
          <w:szCs w:val="28"/>
        </w:rPr>
        <w:t>был запущен</w:t>
      </w:r>
      <w:r w:rsidRPr="009E0862">
        <w:rPr>
          <w:rFonts w:ascii="Times New Roman" w:hAnsi="Times New Roman" w:cs="Times New Roman"/>
          <w:sz w:val="28"/>
          <w:szCs w:val="28"/>
        </w:rPr>
        <w:t xml:space="preserve"> в пилотном режиме и охватывает 100 000 школьников в 32 регионах страны.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 России выстраивает проект как платформу для тесного и практического знакомства школьников с востребованными и перспективными профессиями. В рамках проекта, по окончанию Фестиваля, учащиеся будут проходить современные </w:t>
      </w: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 тесты на базе открытой цифровой платформы, тем самым формируя свое цифровое портфолио. Проект также откроет возможности для участия в </w:t>
      </w: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 турах на передовых технологических площадках (</w:t>
      </w: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, Межрегиональные центры компетенций, вузовские лаборатории и т.п.). Детям представляется возможность «потрогать профессию руками» через выполнение </w:t>
      </w: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 заданий в самых разных индустриях вместе с отраслевыми экспертами.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>Проект сформирует базу активных работодателей и экспертов, обеспечив подготовку педагогов-навигаторов, наставников, сопровождающих ребёнка и помогающих ему выстраивать индивидуальную профессиональную траекторию.</w:t>
      </w:r>
    </w:p>
    <w:p w:rsid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реализация проекта «Билет в будущее» проходит в два этапа:</w:t>
      </w:r>
    </w:p>
    <w:p w:rsidR="009E0862" w:rsidRDefault="009E0862" w:rsidP="009E08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профессиональных проб для школьников «Билет в будущее»;</w:t>
      </w:r>
    </w:p>
    <w:p w:rsidR="009E0862" w:rsidRPr="009E0862" w:rsidRDefault="009E0862" w:rsidP="009E08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 xml:space="preserve">профориентационное тестирование школьников – участников Фестиваля на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9E0862">
        <w:rPr>
          <w:rFonts w:ascii="Times New Roman" w:hAnsi="Times New Roman" w:cs="Times New Roman"/>
          <w:sz w:val="28"/>
          <w:szCs w:val="28"/>
        </w:rPr>
        <w:t xml:space="preserve">информационной платформе, которую в настоящий момент готовит к запуску Союз </w:t>
      </w:r>
      <w:r w:rsidRPr="009E0862">
        <w:rPr>
          <w:rFonts w:ascii="Times New Roman" w:hAnsi="Times New Roman" w:cs="Times New Roman"/>
          <w:sz w:val="28"/>
          <w:szCs w:val="28"/>
        </w:rPr>
        <w:t>Агентство развития профессиональных сообществ и рабочих кадров «Молодые профессионалы (</w:t>
      </w:r>
      <w:proofErr w:type="spellStart"/>
      <w:r w:rsidRPr="009E086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E0862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Pr="009E0862">
        <w:rPr>
          <w:rFonts w:ascii="Times New Roman" w:hAnsi="Times New Roman" w:cs="Times New Roman"/>
          <w:sz w:val="28"/>
          <w:szCs w:val="28"/>
        </w:rPr>
        <w:t xml:space="preserve"> (далее – Союз)</w:t>
      </w:r>
      <w:r w:rsidRPr="009E0862">
        <w:rPr>
          <w:rFonts w:ascii="Times New Roman" w:hAnsi="Times New Roman" w:cs="Times New Roman"/>
          <w:sz w:val="28"/>
          <w:szCs w:val="28"/>
        </w:rPr>
        <w:t>.</w:t>
      </w:r>
    </w:p>
    <w:p w:rsid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первого этапа: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>Фестивали про</w:t>
      </w:r>
      <w:r>
        <w:rPr>
          <w:rFonts w:ascii="Times New Roman" w:hAnsi="Times New Roman" w:cs="Times New Roman"/>
          <w:sz w:val="28"/>
          <w:szCs w:val="28"/>
        </w:rPr>
        <w:t>ведены</w:t>
      </w:r>
      <w:r w:rsidRPr="009E0862">
        <w:rPr>
          <w:rFonts w:ascii="Times New Roman" w:hAnsi="Times New Roman" w:cs="Times New Roman"/>
          <w:sz w:val="28"/>
          <w:szCs w:val="28"/>
        </w:rPr>
        <w:t xml:space="preserve"> в 7 городах</w:t>
      </w:r>
      <w:r>
        <w:rPr>
          <w:rFonts w:ascii="Times New Roman" w:hAnsi="Times New Roman" w:cs="Times New Roman"/>
          <w:sz w:val="28"/>
          <w:szCs w:val="28"/>
        </w:rPr>
        <w:t xml:space="preserve"> России, в том числе и в Рязани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0862">
        <w:rPr>
          <w:rFonts w:ascii="Times New Roman" w:hAnsi="Times New Roman" w:cs="Times New Roman"/>
          <w:sz w:val="28"/>
          <w:szCs w:val="28"/>
        </w:rPr>
        <w:t>22-24 ноября 2018 года на площадях ГАУ РО «СШОР «Академия единоборств» (г. Рязань, ул. Советская, д. 1а)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862">
        <w:rPr>
          <w:rFonts w:ascii="Times New Roman" w:hAnsi="Times New Roman" w:cs="Times New Roman"/>
          <w:sz w:val="28"/>
          <w:szCs w:val="28"/>
        </w:rPr>
        <w:t xml:space="preserve"> организаторами которого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9E0862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Федерации, Правительство Рязанской области, Союз «Агентство развития профессиональных сообществ и рабочих кадров «Молодые проф</w:t>
      </w:r>
      <w:r>
        <w:rPr>
          <w:rFonts w:ascii="Times New Roman" w:hAnsi="Times New Roman" w:cs="Times New Roman"/>
          <w:sz w:val="28"/>
          <w:szCs w:val="28"/>
        </w:rPr>
        <w:t>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>Фестиваль профессий для школьников – современная образовательная площадка в формате профессиональных проб, объединяющая школьников, экспертов отраслевых направлений, специалистов образования и профориентации. Каждый школьник-участник фестиваля получ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9E086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9E0862">
        <w:rPr>
          <w:rFonts w:ascii="Times New Roman" w:hAnsi="Times New Roman" w:cs="Times New Roman"/>
          <w:sz w:val="28"/>
          <w:szCs w:val="28"/>
        </w:rPr>
        <w:lastRenderedPageBreak/>
        <w:t>участника – «Билет в будущее», содержащий его уникальный идентификатор-штрих-код.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Фестиваль «Билет в будущее» построен на основе проведения детьми-участниками профессиональных проб. Профессиональная проба для ребенка – это способ понять, какими задачами занимается та или иная профессия. Ключевая задача Фестиваля – сократить разрыв между учащимися – будущими студентами и реальным сектором экономики.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Структура Фестиваля: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1) 8 тематических направлений – Космос, Энергетика, Транспорт, Городская среда, Новые материалы, Сельское хозяйство, ИТ- коммуникации, Медицина;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2) 6 кейс-зон в каждом тематическом направлении, представляющих 50 различных профессий;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3) аудитория учащихся – 6-11 классы (в основном 6 – 8 классы, 4320 человек);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4) учащиеся проход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52AB4">
        <w:rPr>
          <w:rFonts w:ascii="Times New Roman" w:hAnsi="Times New Roman" w:cs="Times New Roman"/>
          <w:sz w:val="28"/>
          <w:szCs w:val="28"/>
        </w:rPr>
        <w:t xml:space="preserve"> 3 тематические зоны, по 2 кейс-ситуаций в каждой тематической зоне;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5) к участию в мероприятии привлечены 17 работодателей, в том числе 5 из них реализуют федеральные кейсы, 5 вузов, Детский технопарк «</w:t>
      </w:r>
      <w:proofErr w:type="spellStart"/>
      <w:r w:rsidRPr="00A52AB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52AB4">
        <w:rPr>
          <w:rFonts w:ascii="Times New Roman" w:hAnsi="Times New Roman" w:cs="Times New Roman"/>
          <w:sz w:val="28"/>
          <w:szCs w:val="28"/>
        </w:rPr>
        <w:t xml:space="preserve"> «Дружба», а также помощь в создании кейсов по направлению Медицина оказывали Рязанский медицинский колледж и Областная клиническая больница;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>6) к организации Фестиваля привлечены 8 региональных модераторов из числа лидеров молодежного движения, 21 вожатый из педагогического отряда «Синяя птица» РГУ имени С.А. Есенина, 40 помощников-волонтеров из Рязанского железнодорожного колледжа.</w:t>
      </w:r>
    </w:p>
    <w:p w:rsidR="00A52AB4" w:rsidRPr="00A52AB4" w:rsidRDefault="00A52AB4" w:rsidP="00A52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B4">
        <w:rPr>
          <w:rFonts w:ascii="Times New Roman" w:hAnsi="Times New Roman" w:cs="Times New Roman"/>
          <w:sz w:val="28"/>
          <w:szCs w:val="28"/>
        </w:rPr>
        <w:t xml:space="preserve">Профессиональные пробы осуществляются в формате решения </w:t>
      </w:r>
      <w:proofErr w:type="spellStart"/>
      <w:r w:rsidRPr="00A52AB4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A52AB4">
        <w:rPr>
          <w:rFonts w:ascii="Times New Roman" w:hAnsi="Times New Roman" w:cs="Times New Roman"/>
          <w:sz w:val="28"/>
          <w:szCs w:val="28"/>
        </w:rPr>
        <w:t xml:space="preserve"> заданий или ситуаций. Это эталонная ситуация, призванная представить навыки той или иной профессии, и опробовать их на себе.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62">
        <w:rPr>
          <w:rFonts w:ascii="Times New Roman" w:hAnsi="Times New Roman" w:cs="Times New Roman"/>
          <w:sz w:val="28"/>
          <w:szCs w:val="28"/>
        </w:rPr>
        <w:t xml:space="preserve">Для проведения профессиональных проб на Фестиваль привлечены федеральные и региональные спикеры, 15 крупных предприятий и организаций (Ростелеком, ОАО «РЖД», Рязанский нефтеперерабатывающий завод, Гардиан Стекло, </w:t>
      </w:r>
      <w:r w:rsidRPr="009E08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0862">
        <w:rPr>
          <w:rFonts w:ascii="Times New Roman" w:hAnsi="Times New Roman" w:cs="Times New Roman"/>
          <w:sz w:val="28"/>
          <w:szCs w:val="28"/>
        </w:rPr>
        <w:t>-</w:t>
      </w:r>
      <w:r w:rsidRPr="009E0862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9E0862">
        <w:rPr>
          <w:rFonts w:ascii="Times New Roman" w:hAnsi="Times New Roman" w:cs="Times New Roman"/>
          <w:sz w:val="28"/>
          <w:szCs w:val="28"/>
        </w:rPr>
        <w:t xml:space="preserve">, </w:t>
      </w:r>
      <w:r w:rsidRPr="009E0862">
        <w:rPr>
          <w:rFonts w:ascii="Times New Roman" w:hAnsi="Times New Roman" w:cs="Times New Roman"/>
          <w:sz w:val="28"/>
          <w:szCs w:val="28"/>
          <w:lang w:val="en-US"/>
        </w:rPr>
        <w:t>EPAM</w:t>
      </w:r>
      <w:r w:rsidRPr="009E0862">
        <w:rPr>
          <w:rFonts w:ascii="Times New Roman" w:hAnsi="Times New Roman" w:cs="Times New Roman"/>
          <w:sz w:val="28"/>
          <w:szCs w:val="28"/>
        </w:rPr>
        <w:t xml:space="preserve"> </w:t>
      </w:r>
      <w:r w:rsidRPr="009E0862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9E0862">
        <w:rPr>
          <w:rFonts w:ascii="Times New Roman" w:hAnsi="Times New Roman" w:cs="Times New Roman"/>
          <w:sz w:val="28"/>
          <w:szCs w:val="28"/>
        </w:rPr>
        <w:t xml:space="preserve"> и др.), 5 ведущих рязанских вузов.</w:t>
      </w:r>
    </w:p>
    <w:p w:rsidR="009E0862" w:rsidRPr="009E0862" w:rsidRDefault="009E0862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E0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три дня работы Фестиваль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посетили</w:t>
      </w:r>
      <w:r w:rsidRPr="009E0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296</w:t>
      </w:r>
      <w:r w:rsidRPr="009E0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школьников 6-11 классов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более 100</w:t>
      </w:r>
      <w:r w:rsidRPr="009E08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сопровождающих педагогов.</w:t>
      </w:r>
    </w:p>
    <w:p w:rsidR="00510D93" w:rsidRDefault="00510D93" w:rsidP="0051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A52AB4" w:rsidRDefault="00510D93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регистрация школ, учащиеся которых принимали участие в Фестивале, на информационной площадке;</w:t>
      </w:r>
    </w:p>
    <w:p w:rsidR="00510D93" w:rsidRDefault="00510D93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базы данных, содержащие сведения о программах дополнительного образования для детей и крупных мероприятиях профориентационной направленности (по типу регионального чемпионата по профессиональному мастерству «Молодые профессионалы» (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51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10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D93" w:rsidRDefault="00510D93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завершению подготовительных материалов в декабре 2018 года планируется профориентационное тестирование школьников.</w:t>
      </w:r>
    </w:p>
    <w:p w:rsidR="00510D93" w:rsidRPr="00510D93" w:rsidRDefault="00510D93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D9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A52AB4" w:rsidRDefault="00510D93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согласованию с Союзом Рязанская область </w:t>
      </w:r>
      <w:r>
        <w:rPr>
          <w:rFonts w:ascii="Times New Roman" w:hAnsi="Times New Roman" w:cs="Times New Roman"/>
          <w:i/>
          <w:sz w:val="28"/>
          <w:szCs w:val="28"/>
        </w:rPr>
        <w:t>к прохождению профориентационного тестирования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дополнительно привлечет школьников из числа не участвовавших в Фестивале. Их количество пока не определено, но договоренность есть.</w:t>
      </w:r>
    </w:p>
    <w:p w:rsidR="00A52AB4" w:rsidRDefault="00A52AB4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B4" w:rsidRPr="00E719E3" w:rsidRDefault="00A52AB4" w:rsidP="00A52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E3">
        <w:rPr>
          <w:rFonts w:ascii="Times New Roman" w:hAnsi="Times New Roman" w:cs="Times New Roman"/>
          <w:b/>
          <w:sz w:val="28"/>
          <w:szCs w:val="28"/>
        </w:rPr>
        <w:t>Таблица 1 – Кейсы и профессии Фестиваля</w:t>
      </w:r>
    </w:p>
    <w:p w:rsidR="00A52AB4" w:rsidRDefault="00A52AB4" w:rsidP="00A5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71"/>
        <w:gridCol w:w="3649"/>
        <w:gridCol w:w="3825"/>
      </w:tblGrid>
      <w:tr w:rsidR="00A52AB4" w:rsidRPr="00E719E3" w:rsidTr="004B5E5F">
        <w:trPr>
          <w:trHeight w:val="315"/>
        </w:trPr>
        <w:tc>
          <w:tcPr>
            <w:tcW w:w="984" w:type="pc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Профессии</w:t>
            </w:r>
          </w:p>
        </w:tc>
      </w:tr>
      <w:tr w:rsidR="00A52AB4" w:rsidRPr="00E719E3" w:rsidTr="004B5E5F">
        <w:trPr>
          <w:trHeight w:val="610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 и коммуникации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Автотестирование</w:t>
            </w:r>
            <w:proofErr w:type="spellEnd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Selenium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Компьютерная сеть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Системный и сетевой администратор, программист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, программист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HTML-страница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Фронт-энд разработчик, верстальщик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Обучение искусственной нейронной сети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Программист в области искусственного интеллекта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Обжим витой пары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Логистический поезд предприятия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логистических операций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Логист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Инженер-конструктор, инженер-материаловед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51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Инженер-механик автомобильного транспорта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Инженер-механик. Специалист по обслуживанию и ремонту автомобиля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Бортовая система диагностики автомобиля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Инженер-механик. Автоэлектрик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Программирование в ROS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Оператор беспилотного транспортного средства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материалы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Установка АВТ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 технолог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Оценка качества нефтепродуктов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по качеству 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Химический анализ воды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Химик-аналитик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Варим стекло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материаловед, </w:t>
            </w: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, инженер-</w:t>
            </w: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композитчик</w:t>
            </w:r>
            <w:proofErr w:type="spellEnd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 по спектральному и композитному анализу.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Новые материалы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Инженер-материаловед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Внимание к деталям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Инженер – материаловед, инженер-химик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Врач, фельдшер, медицинская сестра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Десмургия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приема </w:t>
            </w: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индекса </w:t>
            </w:r>
            <w:proofErr w:type="spellStart"/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Кетле</w:t>
            </w:r>
            <w:proofErr w:type="spellEnd"/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накопления и выдачи в сеть электроэнергии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Энергетик, инженер-энергетик, экономист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электрической схемы</w:t>
            </w:r>
            <w:r w:rsidRPr="00E719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энергетика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электрического напряжения и силы тока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фотоэлектрических систем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конструктор энергоснабжения на ВИЭ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электрической схемы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гиперспектрального</w:t>
            </w:r>
            <w:proofErr w:type="spellEnd"/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снимка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дистанционного зондирования Земли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карта на основе индекса растительности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 в области зондирования Земли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Наноспутник</w:t>
            </w:r>
            <w:proofErr w:type="spellEnd"/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Инженер-конструктор МКА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Аэрокосмические снимки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Инженер-программист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приключения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Инженер-конструктор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Городская среда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Герконы в «умном» городе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Специалист ОТК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Парк новых технологий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Архитектор-проектировщик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свойства стекла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</w:t>
            </w:r>
            <w:proofErr w:type="spellStart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прочнист</w:t>
            </w:r>
            <w:proofErr w:type="spellEnd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, архитектор, дизайнер городской среды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будущего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Bim</w:t>
            </w:r>
            <w:proofErr w:type="spellEnd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-менеджер-проектировщик, архитектор, дизайнер городской</w:t>
            </w:r>
          </w:p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среды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Проекционное черчение</w:t>
            </w:r>
            <w:r w:rsidRPr="00E719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Архитектор-проектировщик зданий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Архитектор, </w:t>
            </w:r>
            <w:proofErr w:type="spellStart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картографист</w:t>
            </w:r>
            <w:proofErr w:type="spellEnd"/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 w:val="restart"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Агроном-полевод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Породы дерева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лесного хозяйства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 животных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продуктов питания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экстерьера и конституции</w:t>
            </w:r>
            <w:r w:rsidRPr="00E7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сельскохозяйственных животных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Ветеринарный врач</w:t>
            </w:r>
          </w:p>
        </w:tc>
      </w:tr>
      <w:tr w:rsidR="00A52AB4" w:rsidRPr="00E719E3" w:rsidTr="004B5E5F">
        <w:trPr>
          <w:trHeight w:val="315"/>
        </w:trPr>
        <w:tc>
          <w:tcPr>
            <w:tcW w:w="984" w:type="pct"/>
            <w:vMerge/>
            <w:hideMark/>
          </w:tcPr>
          <w:p w:rsidR="00A52AB4" w:rsidRPr="00E719E3" w:rsidRDefault="00A52AB4" w:rsidP="004B5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pct"/>
            <w:hideMark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9E3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2055" w:type="pct"/>
          </w:tcPr>
          <w:p w:rsidR="00A52AB4" w:rsidRPr="00E719E3" w:rsidRDefault="00A52AB4" w:rsidP="004B5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9E3">
              <w:rPr>
                <w:rFonts w:ascii="Times New Roman" w:hAnsi="Times New Roman" w:cs="Times New Roman"/>
                <w:bCs/>
                <w:sz w:val="24"/>
                <w:szCs w:val="24"/>
              </w:rPr>
              <w:t>Агроинженер</w:t>
            </w:r>
            <w:proofErr w:type="spellEnd"/>
          </w:p>
        </w:tc>
      </w:tr>
    </w:tbl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E2">
        <w:rPr>
          <w:rFonts w:ascii="Times New Roman" w:hAnsi="Times New Roman" w:cs="Times New Roman"/>
          <w:b/>
          <w:sz w:val="28"/>
          <w:szCs w:val="28"/>
        </w:rPr>
        <w:lastRenderedPageBreak/>
        <w:t>Таблица 2 – Работодатели Фестиваля</w:t>
      </w:r>
    </w:p>
    <w:p w:rsidR="00A52AB4" w:rsidRPr="00D96DE2" w:rsidRDefault="00A52AB4" w:rsidP="00A52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4"/>
        <w:gridCol w:w="5800"/>
        <w:gridCol w:w="2691"/>
      </w:tblGrid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EPAM Systems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 и коммуникации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D-Link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 и коммуникации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ПАО «Ростелеком»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 и коммуникации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«Рельеф-Центр»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ОАО «РЖД»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Аврора </w:t>
            </w:r>
            <w:proofErr w:type="spellStart"/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Роботикс</w:t>
            </w:r>
            <w:proofErr w:type="spellEnd"/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АО «Рязанская нефтеперерабатывающая компания»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материалы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«УТС </w:t>
            </w:r>
            <w:proofErr w:type="spellStart"/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ТехноНИКОЛЬ</w:t>
            </w:r>
            <w:proofErr w:type="spellEnd"/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материалы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«Гардиан Стекло»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материалы, Городская среда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ПАО «МРСК Центра и Приволжья филиал Рязаньэнерго»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Энергетика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«Рязанские городские электрические сети»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Энергетика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«Рязанский завод металлокерамических приборов»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Энергетика, Городская среда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«РКЦ Прогресс» - «ОКБ Спектр»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Космос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Сколковский</w:t>
            </w:r>
            <w:proofErr w:type="spellEnd"/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институт науки и технологий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Космос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«Авангард»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Управ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ляющая компания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Грейн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Холдинг»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A52AB4" w:rsidRPr="0089085A" w:rsidTr="004B5E5F">
        <w:trPr>
          <w:trHeight w:val="315"/>
        </w:trPr>
        <w:tc>
          <w:tcPr>
            <w:tcW w:w="457" w:type="pct"/>
            <w:hideMark/>
          </w:tcPr>
          <w:p w:rsidR="00A52AB4" w:rsidRPr="0089085A" w:rsidRDefault="00A52AB4" w:rsidP="004B5E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3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«Русская Аграрная Группа»</w:t>
            </w:r>
          </w:p>
        </w:tc>
        <w:tc>
          <w:tcPr>
            <w:tcW w:w="1440" w:type="pct"/>
            <w:hideMark/>
          </w:tcPr>
          <w:p w:rsidR="00A52AB4" w:rsidRPr="0089085A" w:rsidRDefault="00A52AB4" w:rsidP="004B5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</w:tbl>
    <w:p w:rsidR="00A52AB4" w:rsidRPr="0089085A" w:rsidRDefault="00A52AB4" w:rsidP="00A5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5A">
        <w:rPr>
          <w:rFonts w:ascii="Times New Roman" w:hAnsi="Times New Roman" w:cs="Times New Roman"/>
          <w:sz w:val="24"/>
          <w:szCs w:val="24"/>
        </w:rPr>
        <w:t>* - цветом выделены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представляющие федеральные кейсы</w:t>
      </w: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AB4" w:rsidRDefault="00A52AB4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Pr="00510D93" w:rsidRDefault="00D96073" w:rsidP="00D9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</w:t>
      </w:r>
    </w:p>
    <w:p w:rsidR="00D96073" w:rsidRDefault="00D96073" w:rsidP="00D9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приоритетного</w:t>
      </w:r>
      <w:r w:rsidRPr="00510D93">
        <w:rPr>
          <w:rFonts w:ascii="Times New Roman" w:hAnsi="Times New Roman" w:cs="Times New Roman"/>
          <w:sz w:val="28"/>
          <w:szCs w:val="28"/>
        </w:rPr>
        <w:t xml:space="preserve"> проекта «</w:t>
      </w:r>
      <w:r>
        <w:rPr>
          <w:rFonts w:ascii="Times New Roman" w:hAnsi="Times New Roman" w:cs="Times New Roman"/>
          <w:sz w:val="28"/>
          <w:szCs w:val="28"/>
        </w:rPr>
        <w:t>Ключи к профессии</w:t>
      </w:r>
      <w:r w:rsidRPr="00510D93">
        <w:rPr>
          <w:rFonts w:ascii="Times New Roman" w:hAnsi="Times New Roman" w:cs="Times New Roman"/>
          <w:sz w:val="28"/>
          <w:szCs w:val="28"/>
        </w:rPr>
        <w:t>»</w:t>
      </w:r>
    </w:p>
    <w:p w:rsidR="00D96073" w:rsidRPr="00510D93" w:rsidRDefault="00D96073" w:rsidP="00D96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93">
        <w:rPr>
          <w:rFonts w:ascii="Times New Roman" w:hAnsi="Times New Roman" w:cs="Times New Roman"/>
          <w:sz w:val="28"/>
          <w:szCs w:val="28"/>
        </w:rPr>
        <w:t>в 2018 году на территории Рязанской области</w:t>
      </w:r>
    </w:p>
    <w:p w:rsidR="00D96073" w:rsidRDefault="00D96073" w:rsidP="00A5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</w:t>
      </w:r>
      <w:r w:rsidRPr="00D96073">
        <w:rPr>
          <w:rFonts w:ascii="Times New Roman" w:hAnsi="Times New Roman" w:cs="Times New Roman"/>
          <w:sz w:val="28"/>
          <w:szCs w:val="28"/>
        </w:rPr>
        <w:t>арта 2018 года, реализуется двухлетний региональный приоритетный проект «Современная система профессиональной ориентации школьников» («Ключи к профессии»).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Проект направлен на создание в Рязанской области современной региональной системы профориентационной работы на основе данных сопоставления профессиональных интересов и склонностей школьников с потребностью регионального рынка труда в кадрах.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Причиной его разработки и реализации стала выявленная диспропорция между профессиональными склонностями и интересами обучающихся общеобразовательных организаций, расположенных на территории Рязанской области, и потребностью регионального рынка труда в кадрах.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Современная региональная система профориентационной работы будет включать в себя: </w:t>
      </w:r>
      <w:r w:rsidRPr="00D96073">
        <w:rPr>
          <w:rFonts w:ascii="Times New Roman" w:hAnsi="Times New Roman" w:cs="Times New Roman"/>
          <w:b/>
          <w:sz w:val="28"/>
          <w:szCs w:val="28"/>
        </w:rPr>
        <w:t>институциональные органы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Межведомственный совет по профориентации; </w:t>
      </w:r>
      <w:r w:rsidRPr="00D96073">
        <w:rPr>
          <w:rFonts w:ascii="Times New Roman" w:hAnsi="Times New Roman" w:cs="Times New Roman"/>
          <w:b/>
          <w:sz w:val="28"/>
          <w:szCs w:val="28"/>
        </w:rPr>
        <w:t>организации обеспечения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центр профориентации города Рязани, региональный консультационный центр; </w:t>
      </w:r>
      <w:r w:rsidRPr="00D96073">
        <w:rPr>
          <w:rFonts w:ascii="Times New Roman" w:hAnsi="Times New Roman" w:cs="Times New Roman"/>
          <w:b/>
          <w:sz w:val="28"/>
          <w:szCs w:val="28"/>
        </w:rPr>
        <w:t>концентраторы заинтересованных сторон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Интернет-площадка для взаимодействия работодателей со школьниками и их родителями; </w:t>
      </w:r>
      <w:r w:rsidRPr="00D96073">
        <w:rPr>
          <w:rFonts w:ascii="Times New Roman" w:hAnsi="Times New Roman" w:cs="Times New Roman"/>
          <w:b/>
          <w:sz w:val="28"/>
          <w:szCs w:val="28"/>
        </w:rPr>
        <w:t>интерактивные формы и методы профориентации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ежегодная акция «Перспектива», конкурс «</w:t>
      </w:r>
      <w:proofErr w:type="spellStart"/>
      <w:r w:rsidRPr="00D96073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D96073">
        <w:rPr>
          <w:rFonts w:ascii="Times New Roman" w:hAnsi="Times New Roman" w:cs="Times New Roman"/>
          <w:sz w:val="28"/>
          <w:szCs w:val="28"/>
        </w:rPr>
        <w:t>-профи», онлайн-уроки, включая уроки в рамках портала «</w:t>
      </w:r>
      <w:proofErr w:type="spellStart"/>
      <w:r w:rsidRPr="00D9607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96073">
        <w:rPr>
          <w:rFonts w:ascii="Times New Roman" w:hAnsi="Times New Roman" w:cs="Times New Roman"/>
          <w:sz w:val="28"/>
          <w:szCs w:val="28"/>
        </w:rPr>
        <w:t xml:space="preserve">», мастер-классы, профессиональные пробы; </w:t>
      </w:r>
      <w:r w:rsidRPr="00D96073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онлайн, а также в виде брошюры, </w:t>
      </w:r>
      <w:r w:rsidRPr="00D96073">
        <w:rPr>
          <w:rFonts w:ascii="Times New Roman" w:hAnsi="Times New Roman" w:cs="Times New Roman"/>
          <w:b/>
          <w:sz w:val="28"/>
          <w:szCs w:val="28"/>
        </w:rPr>
        <w:t>совершенствование реализации федеральных государственных стандартов общего образования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– апробация модуля «Моя будущая профессия» в пилотных школах, повышение квалификации педагогов по дополнительной образовательной программе, которая позволит им качественно организовывать и реализовывать </w:t>
      </w:r>
      <w:proofErr w:type="spellStart"/>
      <w:r w:rsidRPr="00D9607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96073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информирование школьников об актуальной и будущей ситуации на региональном рынке труда и формировании необходимых предпочтений</w:t>
      </w:r>
      <w:r w:rsidRPr="00D96073">
        <w:rPr>
          <w:rFonts w:ascii="Times New Roman" w:hAnsi="Times New Roman" w:cs="Times New Roman"/>
          <w:b/>
          <w:sz w:val="28"/>
          <w:szCs w:val="28"/>
        </w:rPr>
        <w:t xml:space="preserve">; «фокусы роста» - </w:t>
      </w:r>
      <w:r w:rsidRPr="00D96073">
        <w:rPr>
          <w:rFonts w:ascii="Times New Roman" w:hAnsi="Times New Roman" w:cs="Times New Roman"/>
          <w:sz w:val="28"/>
          <w:szCs w:val="28"/>
        </w:rPr>
        <w:t>ежегодная конференция «Проблемы профессионального самоопределения учащихся, по результатам работы которой ежегодно формируется «актуальная повестка дня».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В настоящее время в рамках реализации проекта: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1. В марте – апреле 2018 года Центром тестирования и развития «Гуманитарные технологии» совместно с Областным государственным бюджетным учреждением дополнительного профессионального образования «Рязанский институт развития образования» проведено профориентационное тестирование 99,4 % обучающихся 8-11 классов общеобразовательных организаций, расположенных на территории Рязанской области (далее – школьники). Анализ результатов тестирования позволил сделать следующие выводы: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lastRenderedPageBreak/>
        <w:t>- доля школьников, не определившихся со своей будущей профессией и дальнейшим образованием, в Рязанской области составляет 36,4 %. При этом каждый пятый ученик 11-го класса не определился со своим профессиональным будущим, в 9-ом классе – каждый третий ученик;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 наиболее значимыми факторами, которые оказали наибольшее влияние на выбор обучающимися региона будущей профессии и дальнейшего образования, являются: «мне нравится, чем занимаются специалисты в данной профессии» – 22,5 %, «возможность получить высшее образование» – 7,1 %, «востребованность профессии» – 5,4 %. При этом в одном муниципальном районе из 29 фактор «возможность получить образование в колледже» более значим, чем фактор «возможность получить высшее образование». Такой приоритетный фактор как востребованность профессии важен только для каждого двадцатого школьника;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 примерно каждый пятый школьник на момент прохождения тестирования еще не думал о своей будущей профессии и рассматривал тестирование как первый шаг;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 девушки более вдумчиво подходят к выбору будущей профессии и дальнейшего образования, чем юноши. И для девушек, и для юношей важны факторы интереса к содержанию труда, возможность получить высшее образование. Но для юношей также важен уровень оплаты труда и престижность профессии. В то время как девушки чаще ориентируются на свои способности при выборе профессии, чем юноши;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- интересы и склонности школьников не соответствуют современным запросам регионального рынка труда. По результатам тестирования школьникам чаще всего рекомендовались профили (могло быть предложено более одного профиля), не слишком востребованные на региональном рынке труда – естественно-научный, художественно-эстетический. Наиболее востребованные работодателями профили рекомендовались реже всего – физико-математический, информационно-технологический, технический (далее – инженерно-технические профили). 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В 6 из 29 муниципальных районов (городских округов) один из инженерно-технических профилей (технический) вошел в тройку наиболее популярных рекомендованных профилей.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2. На основании результатов, полученных в ходе профориентационного тестирования в июне –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D96073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 внесены изменения в комплекс мер, направленных на развитие системы профессиональной ориентации и общественно полезной деятельности учащихся в общеобразовательных организациях Рязанской области, на 2017 - 2020 годы, утвержденный распоряжением Правительства Рязанской области от 27 ноября 2017 года № 556;</w:t>
      </w: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 создан Межведомственный совет по профессиональной ориентации молодежи при Правительстве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(первое заседание которого планируется в декабре 2018 года: итоги работы 2018 года и постановка задач на 2019 год)</w:t>
      </w:r>
      <w:r w:rsidRPr="00D96073">
        <w:rPr>
          <w:rFonts w:ascii="Times New Roman" w:hAnsi="Times New Roman" w:cs="Times New Roman"/>
          <w:sz w:val="28"/>
          <w:szCs w:val="28"/>
        </w:rPr>
        <w:t>;</w:t>
      </w:r>
    </w:p>
    <w:p w:rsid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lastRenderedPageBreak/>
        <w:t>- начата апробация модуля «Моя будущая профессия» в пилотных школа</w:t>
      </w:r>
      <w:r>
        <w:rPr>
          <w:rFonts w:ascii="Times New Roman" w:hAnsi="Times New Roman" w:cs="Times New Roman"/>
          <w:sz w:val="28"/>
          <w:szCs w:val="28"/>
        </w:rPr>
        <w:t xml:space="preserve">х, в которую вовлечено </w:t>
      </w:r>
      <w:r w:rsidR="00391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</w:t>
      </w:r>
      <w:r w:rsidR="00391B25">
        <w:rPr>
          <w:rFonts w:ascii="Times New Roman" w:hAnsi="Times New Roman" w:cs="Times New Roman"/>
          <w:sz w:val="28"/>
          <w:szCs w:val="28"/>
        </w:rPr>
        <w:t xml:space="preserve">в 4 муниципальных образованиях (Сараевский район: </w:t>
      </w:r>
      <w:proofErr w:type="spellStart"/>
      <w:r w:rsidR="00391B25"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 w:rsidR="00391B25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391B25">
        <w:rPr>
          <w:rFonts w:ascii="Times New Roman" w:hAnsi="Times New Roman" w:cs="Times New Roman"/>
          <w:sz w:val="28"/>
          <w:szCs w:val="28"/>
        </w:rPr>
        <w:t>Муравлянская</w:t>
      </w:r>
      <w:proofErr w:type="spellEnd"/>
      <w:r w:rsidR="00391B25">
        <w:rPr>
          <w:rFonts w:ascii="Times New Roman" w:hAnsi="Times New Roman" w:cs="Times New Roman"/>
          <w:sz w:val="28"/>
          <w:szCs w:val="28"/>
        </w:rPr>
        <w:t xml:space="preserve"> СОШ; Шиловский район: Шиловская СОШ № 2, Шиловская СОШ № 3; Рязань: Школа № 9, Школа № 34; Сасово: СОШ № 3, СОШ № 6).</w:t>
      </w:r>
    </w:p>
    <w:p w:rsidR="00D96073" w:rsidRDefault="00391B25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073">
        <w:rPr>
          <w:rFonts w:ascii="Times New Roman" w:hAnsi="Times New Roman" w:cs="Times New Roman"/>
          <w:sz w:val="28"/>
          <w:szCs w:val="28"/>
        </w:rPr>
        <w:t>ромежуточные результаты апробации будут получены по итогам первого полугодия 2018/2019 учебного года)</w:t>
      </w:r>
    </w:p>
    <w:p w:rsid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 сентябре 2018 года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 и приняты к реализации</w:t>
      </w:r>
      <w:r w:rsidRPr="00D96073">
        <w:rPr>
          <w:rFonts w:ascii="Times New Roman" w:hAnsi="Times New Roman" w:cs="Times New Roman"/>
          <w:sz w:val="28"/>
          <w:szCs w:val="28"/>
        </w:rPr>
        <w:t xml:space="preserve"> муниципальные планы мероприятий по оказанию содействия школьникам в вопросах профессиональной ориентации и профессионального самоопределения, скорректированы планы профориентационной работы </w:t>
      </w:r>
      <w:r w:rsidR="00391B25">
        <w:rPr>
          <w:rFonts w:ascii="Times New Roman" w:hAnsi="Times New Roman" w:cs="Times New Roman"/>
          <w:sz w:val="28"/>
          <w:szCs w:val="28"/>
        </w:rPr>
        <w:t>общеобразовательных организаций, которые в том числе предусматривают работу волонтерских педагогических отрядов.</w:t>
      </w:r>
    </w:p>
    <w:p w:rsidR="00391B25" w:rsidRP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B25">
        <w:rPr>
          <w:rFonts w:ascii="Times New Roman" w:hAnsi="Times New Roman" w:cs="Times New Roman"/>
          <w:sz w:val="28"/>
          <w:szCs w:val="28"/>
        </w:rPr>
        <w:t xml:space="preserve"> каждом муниципальном управлении образованием утверждены планы волон</w:t>
      </w:r>
      <w:r>
        <w:rPr>
          <w:rFonts w:ascii="Times New Roman" w:hAnsi="Times New Roman" w:cs="Times New Roman"/>
          <w:sz w:val="28"/>
          <w:szCs w:val="28"/>
        </w:rPr>
        <w:t xml:space="preserve">терских педагогических отрядов, которые в настоящее время реализуются. Отряды организуют </w:t>
      </w:r>
      <w:r w:rsidRPr="00391B25">
        <w:rPr>
          <w:rFonts w:ascii="Times New Roman" w:hAnsi="Times New Roman" w:cs="Times New Roman"/>
          <w:sz w:val="28"/>
          <w:szCs w:val="28"/>
        </w:rPr>
        <w:t xml:space="preserve">мероприятия профориентационной направленности </w:t>
      </w:r>
      <w:r w:rsidRPr="00391B25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1B25">
        <w:rPr>
          <w:rFonts w:ascii="Times New Roman" w:hAnsi="Times New Roman" w:cs="Times New Roman"/>
          <w:sz w:val="28"/>
          <w:szCs w:val="28"/>
        </w:rPr>
        <w:t xml:space="preserve"> беседы, классные часы, тренинги, ролевые игр и д</w:t>
      </w:r>
      <w:r>
        <w:rPr>
          <w:rFonts w:ascii="Times New Roman" w:hAnsi="Times New Roman" w:cs="Times New Roman"/>
          <w:sz w:val="28"/>
          <w:szCs w:val="28"/>
        </w:rPr>
        <w:t>ругие интерактивные мероприятия. Проводили работу по организации и проведению дней школьного самоуправления, участвовали в работе школьных лагерей в каникулярное время;</w:t>
      </w:r>
    </w:p>
    <w:p w:rsid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Рязанский институт развития образования совместно с профильными министерствами и работодателями готовит цикл уроков по профессиональной ориентации, которые размещаются в сети Интернет и доступны для скачивания. Подготовлен совместно с Минсельхозом Рязанской области и проведен в школах региона урок по теме «Профессия ветеринар» с привлечением в школы области представителей данной профессии. Готовится урок по результатам прошедшего в Рязанской области Фестиваля профессиональных проб «Билет в будущее» (декабрь 2018 года)</w:t>
      </w:r>
      <w:r w:rsidR="00391B25">
        <w:rPr>
          <w:rFonts w:ascii="Times New Roman" w:hAnsi="Times New Roman" w:cs="Times New Roman"/>
          <w:sz w:val="28"/>
          <w:szCs w:val="28"/>
        </w:rPr>
        <w:t>;</w:t>
      </w:r>
    </w:p>
    <w:p w:rsid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</w:t>
      </w:r>
      <w:r w:rsidR="00391B25"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391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</w:t>
      </w:r>
      <w:r w:rsidR="00391B25">
        <w:rPr>
          <w:rFonts w:ascii="Times New Roman" w:hAnsi="Times New Roman" w:cs="Times New Roman"/>
          <w:sz w:val="28"/>
          <w:szCs w:val="28"/>
        </w:rPr>
        <w:t xml:space="preserve">». До 03 декабря 2018 года в РИРО направляются материалы на конкурс.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Рязанским институтом развития образования начаты работы по созданию интернет-площадки для организации взаимодействия школьников и родителей с региональными работодателями;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«Перспектива»: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Рязанской области походит областная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акция «Перспектива». Она разработана министерством образования и молодежной политики Рязанской области для помощи старшеклассникам в выборе будущей профессии с учетом изучения способностей детей и изменений, происходящих на рынке труда.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рязанских вузов и учреждений среднего профессионального образования побывают в школах отдаленных районов региона, где встретятся с учащимися 7 – 10 классов, для которых наиболее актуален выбор будущей профессии.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«Перспектива» состоит из нескольких блоков. Первый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игра, составленная по «Атласу новых профессий».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проходят задания, на основе которых изучаются их способности и возможности развития. По итогам каждый школьник «получает» свою рекомендованную профессию. С ней он начинает работу в проектной команде – ребятам, «получившим» разные специальности предлагается разработать идею общего дела. Второй блок – встречи с интересными людьми и успешными специалистам. После волонтеры акции – студенты презентуют свои образовательные организации.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в рамках акции «Перспектива» проходят каждую субботу, начиная с 10 ноября. Более 100 волонтеров из 5 вузов – РГУ, РГРТУ, РГАТУ,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Рязанского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побывали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Шацком,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Александро-Невском районах.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проводимые в рамках акции, помогают детям по-новому взглянуть на свои увлечения, открывают возможности для роста и саморазвития, ведь в процессе игры, когда ребенок расслаблен и увлечен, раскрываются его истинные способности. </w:t>
      </w:r>
    </w:p>
    <w:p w:rsidR="00391B25" w:rsidRDefault="00391B25" w:rsidP="0039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рамках акции пройдет 5 выездов. Волонтеры побывают в 10 районах Рязанской области. Планируется, что акция охватит более 2000 школьников региона, которые получат рекомендации по выбору будущей специальности. </w:t>
      </w:r>
    </w:p>
    <w:p w:rsidR="00391B25" w:rsidRDefault="00391B25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73" w:rsidRPr="00D96073" w:rsidRDefault="00D96073" w:rsidP="00D9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Планируется, что в результате реализации проекта </w:t>
      </w:r>
      <w:r w:rsidR="00391B25">
        <w:rPr>
          <w:rFonts w:ascii="Times New Roman" w:hAnsi="Times New Roman" w:cs="Times New Roman"/>
          <w:sz w:val="28"/>
          <w:szCs w:val="28"/>
        </w:rPr>
        <w:t xml:space="preserve">«Ключи к профессии» </w:t>
      </w:r>
      <w:bookmarkStart w:id="0" w:name="_GoBack"/>
      <w:bookmarkEnd w:id="0"/>
      <w:r w:rsidRPr="00D96073">
        <w:rPr>
          <w:rFonts w:ascii="Times New Roman" w:hAnsi="Times New Roman" w:cs="Times New Roman"/>
          <w:sz w:val="28"/>
          <w:szCs w:val="28"/>
        </w:rPr>
        <w:t>в 2019 году: количество заявлений, поданных на перспективные и востребованные в регионе профессии (из федерального перечня ТОП-50 и регионального перечня ТОП-РЕГИОН), возрастёт до 3200 штук; доля учащихся 8-11 классов общеобразовательных организаций, охваченных современной системой профориентационной работы достигнет 100 %; а доля педагогов, прошедших повышение квалификации, подготовку и переподготовку по профориентационной работе, достигнет 50 %.</w:t>
      </w:r>
    </w:p>
    <w:p w:rsidR="00A52AB4" w:rsidRDefault="00A52AB4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25" w:rsidRDefault="00391B25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B25" w:rsidRPr="009E0862" w:rsidRDefault="00391B25" w:rsidP="009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B25" w:rsidRPr="009E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2B6B"/>
    <w:multiLevelType w:val="hybridMultilevel"/>
    <w:tmpl w:val="FC8E5A3A"/>
    <w:lvl w:ilvl="0" w:tplc="F18E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3F"/>
    <w:rsid w:val="00204678"/>
    <w:rsid w:val="00391B25"/>
    <w:rsid w:val="00510D93"/>
    <w:rsid w:val="005D533F"/>
    <w:rsid w:val="009E0862"/>
    <w:rsid w:val="00A52AB4"/>
    <w:rsid w:val="00D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AEE0-339A-431E-AF92-45DB04E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62"/>
    <w:pPr>
      <w:ind w:left="720"/>
      <w:contextualSpacing/>
    </w:pPr>
  </w:style>
  <w:style w:type="character" w:customStyle="1" w:styleId="apple-converted-space">
    <w:name w:val="apple-converted-space"/>
    <w:basedOn w:val="a0"/>
    <w:rsid w:val="00A52AB4"/>
  </w:style>
  <w:style w:type="table" w:styleId="a4">
    <w:name w:val="Table Grid"/>
    <w:basedOn w:val="a1"/>
    <w:uiPriority w:val="59"/>
    <w:rsid w:val="00A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2018-11-30T13:51:00Z</cp:lastPrinted>
  <dcterms:created xsi:type="dcterms:W3CDTF">2018-11-30T10:12:00Z</dcterms:created>
  <dcterms:modified xsi:type="dcterms:W3CDTF">2018-11-30T14:26:00Z</dcterms:modified>
</cp:coreProperties>
</file>