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29C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Администрации города Рязани от 12 декабря 2016 г. N 5506</w:t>
        </w:r>
        <w:r>
          <w:rPr>
            <w:rStyle w:val="a4"/>
            <w:b w:val="0"/>
            <w:bCs w:val="0"/>
          </w:rPr>
          <w:br/>
          <w:t xml:space="preserve"> "Об утверждении Положения о порядке и условиях распределен</w:t>
        </w:r>
        <w:r>
          <w:rPr>
            <w:rStyle w:val="a4"/>
            <w:b w:val="0"/>
            <w:bCs w:val="0"/>
          </w:rPr>
          <w:t>ия премиального фонда на выплаты стимулирующего характера руководителям муниципальных общеобразовательных учреждений города Рязани"</w:t>
        </w:r>
      </w:hyperlink>
    </w:p>
    <w:p w:rsidR="00000000" w:rsidRDefault="0006529C">
      <w:pPr>
        <w:pStyle w:val="ab"/>
      </w:pPr>
      <w:r>
        <w:t>С изменениями и дополнениями от:</w:t>
      </w:r>
    </w:p>
    <w:p w:rsidR="00000000" w:rsidRDefault="0006529C">
      <w:pPr>
        <w:pStyle w:val="a6"/>
      </w:pPr>
      <w:r>
        <w:t>29 мая 2018 г.</w:t>
      </w:r>
    </w:p>
    <w:p w:rsidR="00000000" w:rsidRDefault="0006529C"/>
    <w:p w:rsidR="00000000" w:rsidRDefault="0006529C">
      <w:r>
        <w:t xml:space="preserve">В соответствии с </w:t>
      </w:r>
      <w:hyperlink r:id="rId6" w:history="1">
        <w:r>
          <w:rPr>
            <w:rStyle w:val="a4"/>
          </w:rPr>
          <w:t>Примерным положением</w:t>
        </w:r>
      </w:hyperlink>
      <w:r>
        <w:t xml:space="preserve"> об оплате труда работников муниципальных общеобразовательных учреждений города Рязани, утвержденным </w:t>
      </w:r>
      <w:hyperlink r:id="rId7" w:history="1">
        <w:r>
          <w:rPr>
            <w:rStyle w:val="a4"/>
          </w:rPr>
          <w:t>решением</w:t>
        </w:r>
      </w:hyperlink>
      <w:r>
        <w:t xml:space="preserve"> Рязанской городской Думы от 22.10.2009 N 571-I, руководствуясь </w:t>
      </w:r>
      <w:hyperlink r:id="rId8" w:history="1">
        <w:r>
          <w:rPr>
            <w:rStyle w:val="a4"/>
          </w:rPr>
          <w:t>статьями 39</w:t>
        </w:r>
      </w:hyperlink>
      <w:r>
        <w:t xml:space="preserve">, </w:t>
      </w:r>
      <w:hyperlink r:id="rId9" w:history="1">
        <w:r>
          <w:rPr>
            <w:rStyle w:val="a4"/>
          </w:rPr>
          <w:t>41</w:t>
        </w:r>
      </w:hyperlink>
      <w:r>
        <w:t xml:space="preserve"> Устава муниципального образования - городской округ город Рязань Рязанской области, администрация города Рязани постановляет:</w:t>
      </w:r>
    </w:p>
    <w:p w:rsidR="00000000" w:rsidRDefault="0006529C">
      <w:bookmarkStart w:id="0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</w:t>
      </w:r>
      <w:r>
        <w:t>о порядке и условиях распределения премиального фонда на выплаты стимулирующего характера руководителям муниципальных общеобразовательных учреждений города Рязани.</w:t>
      </w:r>
    </w:p>
    <w:p w:rsidR="00000000" w:rsidRDefault="0006529C">
      <w:bookmarkStart w:id="1" w:name="sub_2"/>
      <w:bookmarkEnd w:id="0"/>
      <w:r>
        <w:t>2. Признать утратившими силу постановления администрации города Рязани:</w:t>
      </w:r>
    </w:p>
    <w:p w:rsidR="00000000" w:rsidRDefault="0006529C">
      <w:bookmarkStart w:id="2" w:name="sub_201"/>
      <w:bookmarkEnd w:id="1"/>
      <w:r>
        <w:t xml:space="preserve">- </w:t>
      </w:r>
      <w:hyperlink r:id="rId10" w:history="1">
        <w:r>
          <w:rPr>
            <w:rStyle w:val="a4"/>
          </w:rPr>
          <w:t>от 15.01.2013 N 50</w:t>
        </w:r>
      </w:hyperlink>
      <w:r>
        <w:t xml:space="preserve"> "О порядке и условиях распределения премиального фонда на выплаты стимулирующего характера руководителям муниципальных общеобразовательных учреждений города Рязани";</w:t>
      </w:r>
    </w:p>
    <w:p w:rsidR="00000000" w:rsidRDefault="0006529C">
      <w:bookmarkStart w:id="3" w:name="sub_202"/>
      <w:bookmarkEnd w:id="2"/>
      <w:r>
        <w:t xml:space="preserve">- </w:t>
      </w:r>
      <w:hyperlink r:id="rId11" w:history="1">
        <w:r>
          <w:rPr>
            <w:rStyle w:val="a4"/>
          </w:rPr>
          <w:t>от 11.06.2013 N 2267</w:t>
        </w:r>
      </w:hyperlink>
      <w:r>
        <w:t xml:space="preserve"> "О внесении изменений в Положение о порядке и условиях распределения премиального фонда на выплаты стимулирующего характера руководителям муниципальных общеобразовательных учреждений города Рязани, утвержденное пос</w:t>
      </w:r>
      <w:r>
        <w:t>тановлением администрации города Рязани от 15.01.2013 N 50";</w:t>
      </w:r>
    </w:p>
    <w:p w:rsidR="00000000" w:rsidRDefault="0006529C">
      <w:bookmarkStart w:id="4" w:name="sub_203"/>
      <w:bookmarkEnd w:id="3"/>
      <w:r>
        <w:t xml:space="preserve">- </w:t>
      </w:r>
      <w:hyperlink r:id="rId12" w:history="1">
        <w:r>
          <w:rPr>
            <w:rStyle w:val="a4"/>
          </w:rPr>
          <w:t>от 03.10.2013 N 4158</w:t>
        </w:r>
      </w:hyperlink>
      <w:r>
        <w:t xml:space="preserve"> "О внесении изменений в Положение о порядке и условиях распределения премиального фонда на выплаты стимулирующего характер</w:t>
      </w:r>
      <w:r>
        <w:t>а руководителям муниципальных общеобразовательных учреждений города Рязани, утвержденное постановлением администрации города Рязани от 15.01.2013 N 50";</w:t>
      </w:r>
    </w:p>
    <w:p w:rsidR="00000000" w:rsidRDefault="0006529C">
      <w:bookmarkStart w:id="5" w:name="sub_204"/>
      <w:bookmarkEnd w:id="4"/>
      <w:r>
        <w:t xml:space="preserve">- </w:t>
      </w:r>
      <w:hyperlink r:id="rId13" w:history="1">
        <w:r>
          <w:rPr>
            <w:rStyle w:val="a4"/>
          </w:rPr>
          <w:t>от 30.12.2013 N 5722</w:t>
        </w:r>
      </w:hyperlink>
      <w:r>
        <w:t xml:space="preserve"> "О внесении изменений в прилож</w:t>
      </w:r>
      <w:r>
        <w:t>ение к постановлению администрации города Рязани от 15.01.2013 N 50 "О порядке и условиях распределения премиального фонда на выплаты стимулирующего характера руководителям муниципальных общеобразовательных учреждений города Рязани";</w:t>
      </w:r>
    </w:p>
    <w:p w:rsidR="00000000" w:rsidRDefault="0006529C">
      <w:bookmarkStart w:id="6" w:name="sub_205"/>
      <w:bookmarkEnd w:id="5"/>
      <w:r>
        <w:t xml:space="preserve">- </w:t>
      </w:r>
      <w:hyperlink r:id="rId14" w:history="1">
        <w:r>
          <w:rPr>
            <w:rStyle w:val="a4"/>
          </w:rPr>
          <w:t>от 29.06.2015 N 2895</w:t>
        </w:r>
      </w:hyperlink>
      <w:r>
        <w:t xml:space="preserve"> "О внесении изменений в приложение к Положению о порядке и условиях распределения премиального фонда на выплаты стимулирующего характера руководителям муниципальных общеобразовательных учреждений города Ря</w:t>
      </w:r>
      <w:r>
        <w:t>зани, утвержденному постановлением администрации города Рязани от 15.01.2013 N 50".</w:t>
      </w:r>
    </w:p>
    <w:p w:rsidR="00000000" w:rsidRDefault="0006529C">
      <w:bookmarkStart w:id="7" w:name="sub_3"/>
      <w:bookmarkEnd w:id="6"/>
      <w:r>
        <w:t>3 Настоящее постановление вступает в силу с 1 января 2017 года.</w:t>
      </w:r>
    </w:p>
    <w:p w:rsidR="00000000" w:rsidRDefault="0006529C">
      <w:bookmarkStart w:id="8" w:name="sub_4"/>
      <w:bookmarkEnd w:id="7"/>
      <w:r>
        <w:t>4. Отделу по связям со средствами массовой информации администрации города Рязани (Ром</w:t>
      </w:r>
      <w:r>
        <w:t xml:space="preserve">анова Е.С.) </w:t>
      </w:r>
      <w:hyperlink r:id="rId15" w:history="1">
        <w:r>
          <w:rPr>
            <w:rStyle w:val="a4"/>
          </w:rPr>
          <w:t>опубликовать</w:t>
        </w:r>
      </w:hyperlink>
      <w:r>
        <w:t xml:space="preserve"> настоящее постановление на официальном сайте администрации города Рязани в сети Интернет www.admrzn.ru.</w:t>
      </w:r>
    </w:p>
    <w:p w:rsidR="00000000" w:rsidRDefault="0006529C">
      <w:pPr>
        <w:pStyle w:val="a8"/>
        <w:rPr>
          <w:color w:val="000000"/>
          <w:sz w:val="16"/>
          <w:szCs w:val="16"/>
        </w:rPr>
      </w:pPr>
      <w:bookmarkStart w:id="9" w:name="sub_5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6529C">
      <w:pPr>
        <w:pStyle w:val="a9"/>
      </w:pPr>
      <w:r>
        <w:t xml:space="preserve">Пункт 5 изменен.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города Рязани от 29 мая 2018 г. N 2054</w:t>
      </w:r>
    </w:p>
    <w:p w:rsidR="00000000" w:rsidRDefault="0006529C">
      <w:pPr>
        <w:pStyle w:val="a9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06529C">
      <w:r>
        <w:t>5. Контроль за исполнением настоящего постановления возложить на заместителя главы администрации Е.Б. Сорокину.</w:t>
      </w:r>
    </w:p>
    <w:p w:rsidR="00000000" w:rsidRDefault="0006529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Глава админ</w:t>
            </w:r>
            <w:r>
              <w:t>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529C">
            <w:pPr>
              <w:pStyle w:val="aa"/>
              <w:jc w:val="right"/>
            </w:pPr>
            <w:r>
              <w:t>О.Е. Булеков</w:t>
            </w:r>
          </w:p>
        </w:tc>
      </w:tr>
    </w:tbl>
    <w:p w:rsidR="00000000" w:rsidRDefault="0006529C"/>
    <w:p w:rsidR="00000000" w:rsidRDefault="0006529C">
      <w:pPr>
        <w:pStyle w:val="1"/>
      </w:pPr>
      <w:bookmarkStart w:id="10" w:name="sub_1000"/>
      <w:r>
        <w:lastRenderedPageBreak/>
        <w:t>Положение</w:t>
      </w:r>
      <w:r>
        <w:br/>
        <w:t xml:space="preserve"> о порядке и условиях распределения премиального фонда на выплаты стимулирующего характера руководителям муниципальных общеобразовательных учреждений города Рязани</w:t>
      </w:r>
      <w:r>
        <w:br/>
        <w:t xml:space="preserve"> (утв. 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 города Рязани от 12 декабря 2016 г. N 5506)</w:t>
      </w:r>
    </w:p>
    <w:bookmarkEnd w:id="10"/>
    <w:p w:rsidR="00000000" w:rsidRDefault="0006529C"/>
    <w:p w:rsidR="00000000" w:rsidRDefault="0006529C">
      <w:pPr>
        <w:pStyle w:val="1"/>
      </w:pPr>
      <w:bookmarkStart w:id="11" w:name="sub_10"/>
      <w:r>
        <w:t>1. Общие положения</w:t>
      </w:r>
    </w:p>
    <w:bookmarkEnd w:id="11"/>
    <w:p w:rsidR="00000000" w:rsidRDefault="0006529C"/>
    <w:p w:rsidR="00000000" w:rsidRDefault="0006529C">
      <w:bookmarkStart w:id="12" w:name="sub_11"/>
      <w:r>
        <w:t>1.1. Положение о порядке и условиях распределения премиального фонда на выплаты стимулирующего характера руководителям муниципальных общеобразовательн</w:t>
      </w:r>
      <w:r>
        <w:t>ых учреждений города Рязани (далее - Положение) разработано в целях усиления материальной заинтересованности руководителей муниципальных общеобразовательных учреждений города Рязани (далее - учреждение) в повышении качества работы, развития творческой акти</w:t>
      </w:r>
      <w:r>
        <w:t>вности и инициативы при выполнении поставленных задач.</w:t>
      </w:r>
    </w:p>
    <w:p w:rsidR="00000000" w:rsidRDefault="0006529C">
      <w:bookmarkStart w:id="13" w:name="sub_12"/>
      <w:bookmarkEnd w:id="12"/>
      <w:r>
        <w:t>1.2. Учреждение вправе создать премиальный фонд на выплаты стимулирующего характера руководителю в размере, не превышающем 5% фонда оплаты труда, а также средств от приносящей доход деятель</w:t>
      </w:r>
      <w:r>
        <w:t>ности, направленных на оплату труда работников.</w:t>
      </w:r>
    </w:p>
    <w:bookmarkEnd w:id="13"/>
    <w:p w:rsidR="00000000" w:rsidRDefault="0006529C">
      <w:r>
        <w:t>Конкретный процент премиального фонда на выплаты стимулирующего характера руководителям учреждений устанавливается приказом управления образования и молодежной политики администрации города Рязани на те</w:t>
      </w:r>
      <w:r>
        <w:t>кущий год.</w:t>
      </w:r>
    </w:p>
    <w:p w:rsidR="00000000" w:rsidRDefault="0006529C">
      <w:bookmarkStart w:id="14" w:name="sub_13"/>
      <w:r>
        <w:t>1.3. Выплаты стимулирующего характера руководителям учреждений устанавливаются и производятся в соответствии с распоряжением администрации города Рязани, проект которого подготавливается управлением образования и молодежной политики админи</w:t>
      </w:r>
      <w:r>
        <w:t>страции города Рязани.</w:t>
      </w:r>
    </w:p>
    <w:p w:rsidR="00000000" w:rsidRDefault="0006529C">
      <w:bookmarkStart w:id="15" w:name="sub_14"/>
      <w:bookmarkEnd w:id="14"/>
      <w:r>
        <w:t>1.4. Выплаты стимулирующего характера руководителям учреждений устанавливаются на основании информации, предоставляемой управлением образования и молодежной политики администрации города Рязани.</w:t>
      </w:r>
    </w:p>
    <w:bookmarkEnd w:id="15"/>
    <w:p w:rsidR="00000000" w:rsidRDefault="0006529C"/>
    <w:p w:rsidR="00000000" w:rsidRDefault="0006529C">
      <w:pPr>
        <w:pStyle w:val="1"/>
      </w:pPr>
      <w:bookmarkStart w:id="16" w:name="sub_20"/>
      <w:r>
        <w:t>2. Условия ра</w:t>
      </w:r>
      <w:r>
        <w:t>спределения премиального фонда на выплаты стимулирующего характера</w:t>
      </w:r>
    </w:p>
    <w:bookmarkEnd w:id="16"/>
    <w:p w:rsidR="00000000" w:rsidRDefault="0006529C"/>
    <w:p w:rsidR="00000000" w:rsidRDefault="0006529C">
      <w:bookmarkStart w:id="17" w:name="sub_21"/>
      <w:r>
        <w:t>2.1. Распределение премиального фонда производится на осуществление следующих выплат стимулирующего характера руководителям учреждений:</w:t>
      </w:r>
    </w:p>
    <w:p w:rsidR="00000000" w:rsidRDefault="0006529C">
      <w:bookmarkStart w:id="18" w:name="sub_211"/>
      <w:bookmarkEnd w:id="17"/>
      <w:r>
        <w:t>а) ежемесячные выплаты за к</w:t>
      </w:r>
      <w:r>
        <w:t>ачество выполняемых работ;</w:t>
      </w:r>
    </w:p>
    <w:p w:rsidR="00000000" w:rsidRDefault="0006529C">
      <w:bookmarkStart w:id="19" w:name="sub_212"/>
      <w:bookmarkEnd w:id="18"/>
      <w:r>
        <w:t>б) ежемесячные премиальные выплаты в соответствии с целевыми показателями эффективности деятельности учреждения по итогам работы за год;</w:t>
      </w:r>
    </w:p>
    <w:p w:rsidR="00000000" w:rsidRDefault="0006529C">
      <w:bookmarkStart w:id="20" w:name="sub_213"/>
      <w:bookmarkEnd w:id="19"/>
      <w:r>
        <w:t>в) премиальные выплаты по итогам работы за квартал, год.</w:t>
      </w:r>
    </w:p>
    <w:p w:rsidR="00000000" w:rsidRDefault="0006529C">
      <w:bookmarkStart w:id="21" w:name="sub_22"/>
      <w:bookmarkEnd w:id="20"/>
      <w:r>
        <w:t>2.2. Ежемесячные выплаты за качество выполняемых работ включают в себя следующие выплаты руководителям учреждений:</w:t>
      </w:r>
    </w:p>
    <w:bookmarkEnd w:id="21"/>
    <w:p w:rsidR="00000000" w:rsidRDefault="0006529C">
      <w:r>
        <w:t>- имеющим ученую степень доктора наук по профилю учреждения или педагогической деятельности (преподаваемых дисциплин) - в размере</w:t>
      </w:r>
      <w:r>
        <w:t xml:space="preserve"> 2500 рублей;</w:t>
      </w:r>
    </w:p>
    <w:p w:rsidR="00000000" w:rsidRDefault="0006529C">
      <w:r>
        <w:t>- имеющим ученую степень кандидата наук по профилю учреждения или педагогической деятельности (преподаваемых дисциплин) - в размере 2000 рублей;</w:t>
      </w:r>
    </w:p>
    <w:p w:rsidR="00000000" w:rsidRDefault="0006529C">
      <w:r>
        <w:t>- имеющим почетные звания "Заслуженный учитель" и "Заслуженный преподаватель" СССР, Российской Фе</w:t>
      </w:r>
      <w:r>
        <w:t>дерации и союзных республик, входивших в состав СССР - в размере 2000 рублей;</w:t>
      </w:r>
    </w:p>
    <w:p w:rsidR="00000000" w:rsidRDefault="0006529C">
      <w:r>
        <w:lastRenderedPageBreak/>
        <w:t>- имеющим другие почетные звания: "Заслуженный работник физической культуры", "Заслуженный работник культуры" и другие почетные звания СССР, Российской Федерации и союзных респуб</w:t>
      </w:r>
      <w:r>
        <w:t>лик, входивших в состав СССР, установленные для работников различных отраслей, название которых начинается со слов "Народный" (за исключением "Народный учитель Российской Федерации"), "Заслуженный", при условии соответствия почетного звания профилю учрежде</w:t>
      </w:r>
      <w:r>
        <w:t>ния, а педагогическим работникам учреждений - при соответствии почетного звания профилю педагогической деятельности или преподаваемых дисциплин - в размере 500 рублей;</w:t>
      </w:r>
    </w:p>
    <w:p w:rsidR="00000000" w:rsidRDefault="0006529C">
      <w:r>
        <w:t>- имеющим почетное звание "Народный учитель Российской Федерации" - в размере 5000 рублей.</w:t>
      </w:r>
    </w:p>
    <w:p w:rsidR="00000000" w:rsidRDefault="0006529C">
      <w:r>
        <w:t>Руководителям учреждений, имеющим почетное звание и ученую степень, выплаты за качество выполняемых работ производятся по каждому основанию.</w:t>
      </w:r>
    </w:p>
    <w:p w:rsidR="00000000" w:rsidRDefault="0006529C">
      <w:bookmarkStart w:id="22" w:name="sub_23"/>
      <w:r>
        <w:t xml:space="preserve">2.3. Премирование </w:t>
      </w:r>
      <w:r>
        <w:t>руководителей учреждений производится по результатам оценки итогов работы учреждения за соответствующий отчетный период с учетом выполнения целевых показателей эффективности деятельности учреждений, личного вклада руководителей в осуществление основных зад</w:t>
      </w:r>
      <w:r>
        <w:t>ач и функций, определенных уставом учреждения, а также выполнения обязанностей, предусмотренных трудовым договором.</w:t>
      </w:r>
    </w:p>
    <w:p w:rsidR="00000000" w:rsidRDefault="0006529C">
      <w:bookmarkStart w:id="23" w:name="sub_24"/>
      <w:bookmarkEnd w:id="22"/>
      <w:r>
        <w:t xml:space="preserve">2.4. Ежемесячные премиальные выплаты, предусмотренные </w:t>
      </w:r>
      <w:hyperlink w:anchor="sub_212" w:history="1">
        <w:r>
          <w:rPr>
            <w:rStyle w:val="a4"/>
          </w:rPr>
          <w:t>подпунктом "б" пункта 2.1</w:t>
        </w:r>
      </w:hyperlink>
      <w:r>
        <w:t xml:space="preserve"> Положения, производятся</w:t>
      </w:r>
      <w:r>
        <w:t xml:space="preserve"> в размере до 100% должностного оклада руководителя учреждения в соответствии с целевыми показателями эффективности работы руководителей учреждений по итогам работы за год,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Положению:</w:t>
      </w:r>
    </w:p>
    <w:bookmarkEnd w:id="23"/>
    <w:p w:rsidR="00000000" w:rsidRDefault="0006529C">
      <w:r>
        <w:t xml:space="preserve">- по критериям по </w:t>
      </w:r>
      <w:r>
        <w:t>основной деятельности учреждения, критериям по финансово-экономической деятельности, исполнительской дисциплине учреждения, критериям по деятельности учреждения, направленным на работу с кадрами - в размере до 100% должностного оклада руководителя учрежден</w:t>
      </w:r>
      <w:r>
        <w:t>ия;</w:t>
      </w:r>
    </w:p>
    <w:p w:rsidR="00000000" w:rsidRDefault="0006529C">
      <w:r>
        <w:t>- по критериям оценки деятельности учреждения по организации приносящей доход деятельности - в размере 5% средств от приносящей доход деятельности, направленных учреждением на оплату труда работников, но не более 100% должностного оклада руководителя у</w:t>
      </w:r>
      <w:r>
        <w:t>чреждения.</w:t>
      </w:r>
    </w:p>
    <w:p w:rsidR="00000000" w:rsidRDefault="0006529C">
      <w:bookmarkStart w:id="24" w:name="sub_25"/>
      <w:r>
        <w:t>2.5. Премиальные выплаты по итогам работы за квартал, год производятся в размере до 100% должностного оклада руководителя учреждения.</w:t>
      </w:r>
    </w:p>
    <w:bookmarkEnd w:id="24"/>
    <w:p w:rsidR="00000000" w:rsidRDefault="0006529C">
      <w:r>
        <w:t>При премировании по итогам работы (за квартал, год) учитываются:</w:t>
      </w:r>
    </w:p>
    <w:p w:rsidR="00000000" w:rsidRDefault="0006529C">
      <w:r>
        <w:t>- инициатива, творчество и примене</w:t>
      </w:r>
      <w:r>
        <w:t>ние в работе современных форм и методов организации труда;</w:t>
      </w:r>
    </w:p>
    <w:p w:rsidR="00000000" w:rsidRDefault="0006529C">
      <w:r>
        <w:t>- выполнение порученной работы, связанной с обеспечением рабочего процесса или уставной деятельности учреждения;</w:t>
      </w:r>
    </w:p>
    <w:p w:rsidR="00000000" w:rsidRDefault="0006529C">
      <w:r>
        <w:t>- достижение высоких результатов в работе в соответствующий период;</w:t>
      </w:r>
    </w:p>
    <w:p w:rsidR="00000000" w:rsidRDefault="0006529C">
      <w:r>
        <w:t>- участие в соот</w:t>
      </w:r>
      <w:r>
        <w:t>ветствующем периоде в выполнении важных работ, мероприятий.</w:t>
      </w:r>
    </w:p>
    <w:p w:rsidR="00000000" w:rsidRDefault="0006529C"/>
    <w:p w:rsidR="00000000" w:rsidRDefault="0006529C">
      <w:pPr>
        <w:pStyle w:val="1"/>
      </w:pPr>
      <w:bookmarkStart w:id="25" w:name="sub_30"/>
      <w:r>
        <w:t>3. Порядок распределения премиального фонда на выплаты стимулирующего характера</w:t>
      </w:r>
    </w:p>
    <w:bookmarkEnd w:id="25"/>
    <w:p w:rsidR="00000000" w:rsidRDefault="0006529C"/>
    <w:p w:rsidR="00000000" w:rsidRDefault="0006529C">
      <w:bookmarkStart w:id="26" w:name="sub_31"/>
      <w:r>
        <w:t>3.1. Размер премии руководителям учреждений устанавливается распоряжением администрации города Р</w:t>
      </w:r>
      <w:r>
        <w:t>язани и определяется управлением образования и молодежной политики администрации города Рязани в соответствии с целевыми показателями деятельности учреждений.</w:t>
      </w:r>
    </w:p>
    <w:p w:rsidR="00000000" w:rsidRDefault="0006529C">
      <w:bookmarkStart w:id="27" w:name="sub_32"/>
      <w:bookmarkEnd w:id="26"/>
      <w:r>
        <w:t xml:space="preserve">3.2. Руководители учреждений представляют в управление образования и </w:t>
      </w:r>
      <w:r>
        <w:lastRenderedPageBreak/>
        <w:t>молодежной полит</w:t>
      </w:r>
      <w:r>
        <w:t>ики администрации города Рязани информацию о достижении установленных критериев при выполнении целевых показателей эффективности деятельности учреждения, являющихся основанием для премирования руководителя.</w:t>
      </w:r>
    </w:p>
    <w:p w:rsidR="00000000" w:rsidRDefault="0006529C">
      <w:bookmarkStart w:id="28" w:name="sub_33"/>
      <w:bookmarkEnd w:id="27"/>
      <w:r>
        <w:t>3.3. Управление образования и молодеж</w:t>
      </w:r>
      <w:r>
        <w:t>ной политики администрации города Рязани проводит анализ выполнения (невыполнения) целевых показателей эффективности деятельности учреждения по итогам работы за год, определяет степень их исполнения, оценивая:</w:t>
      </w:r>
    </w:p>
    <w:bookmarkEnd w:id="28"/>
    <w:p w:rsidR="00000000" w:rsidRDefault="0006529C">
      <w:r>
        <w:t>- баллами от общего количества процентов</w:t>
      </w:r>
      <w:r>
        <w:t xml:space="preserve"> по </w:t>
      </w:r>
      <w:hyperlink w:anchor="sub_101" w:history="1">
        <w:r>
          <w:rPr>
            <w:rStyle w:val="a4"/>
          </w:rPr>
          <w:t>разделам 1 - 3</w:t>
        </w:r>
      </w:hyperlink>
      <w:r>
        <w:t xml:space="preserve"> приложения к Положению;</w:t>
      </w:r>
    </w:p>
    <w:p w:rsidR="00000000" w:rsidRDefault="0006529C">
      <w:r>
        <w:t xml:space="preserve">- процентами поступлений от приносящей доход деятельности (платных услуг) по </w:t>
      </w:r>
      <w:hyperlink w:anchor="sub_104" w:history="1">
        <w:r>
          <w:rPr>
            <w:rStyle w:val="a4"/>
          </w:rPr>
          <w:t>разделу 4</w:t>
        </w:r>
      </w:hyperlink>
      <w:r>
        <w:t xml:space="preserve"> приложения к Положению.</w:t>
      </w:r>
    </w:p>
    <w:p w:rsidR="00000000" w:rsidRDefault="0006529C">
      <w:bookmarkStart w:id="29" w:name="sub_34"/>
      <w:r>
        <w:t>3.4. Конкретный размер ежемесячных премиальных</w:t>
      </w:r>
      <w:r>
        <w:t xml:space="preserve"> выплат в соответствии с целевыми показателями эффективности деятельности учреждения по итогам работы за год определяется:</w:t>
      </w:r>
    </w:p>
    <w:bookmarkEnd w:id="29"/>
    <w:p w:rsidR="00000000" w:rsidRDefault="0006529C">
      <w:r>
        <w:t xml:space="preserve">- по </w:t>
      </w:r>
      <w:hyperlink w:anchor="sub_101" w:history="1">
        <w:r>
          <w:rPr>
            <w:rStyle w:val="a4"/>
          </w:rPr>
          <w:t>разделам 1 - 3</w:t>
        </w:r>
      </w:hyperlink>
      <w:r>
        <w:t xml:space="preserve"> приложения к Положению исходя из суммы набранных баллов и цены одного балла;</w:t>
      </w:r>
    </w:p>
    <w:p w:rsidR="00000000" w:rsidRDefault="0006529C">
      <w:r>
        <w:t xml:space="preserve">- по </w:t>
      </w:r>
      <w:hyperlink w:anchor="sub_104" w:history="1">
        <w:r>
          <w:rPr>
            <w:rStyle w:val="a4"/>
          </w:rPr>
          <w:t>разделу 4</w:t>
        </w:r>
      </w:hyperlink>
      <w:r>
        <w:t xml:space="preserve"> приложения к Положению исходя из процента от выручки от приносящей доход деятельности (платных услуг).</w:t>
      </w:r>
    </w:p>
    <w:p w:rsidR="00000000" w:rsidRDefault="0006529C">
      <w:r>
        <w:t xml:space="preserve">Цена одного балла по </w:t>
      </w:r>
      <w:hyperlink w:anchor="sub_101" w:history="1">
        <w:r>
          <w:rPr>
            <w:rStyle w:val="a4"/>
          </w:rPr>
          <w:t>разделам 1 - 3</w:t>
        </w:r>
      </w:hyperlink>
      <w:r>
        <w:t xml:space="preserve"> приложения к Положению устанавливается по следующему принципу: общая величина премиального фонда (в рублях), исключая часть, предусматриваемую на выплаты за качество выполняемых работ, делится на сумму максимально возможного количества баллов по критериям</w:t>
      </w:r>
      <w:r>
        <w:t xml:space="preserve"> оценки деятельности руководителей учреждений, которые претендуют на выплаты.</w:t>
      </w:r>
    </w:p>
    <w:p w:rsidR="00000000" w:rsidRDefault="0006529C">
      <w:bookmarkStart w:id="30" w:name="sub_35"/>
      <w:r>
        <w:t>3.5. Распределение и установление ежемесячных выплат стимулирующего характера в соответствии с достигнутыми критериями целевых показателей эффективности деятельности учрежд</w:t>
      </w:r>
      <w:r>
        <w:t>ения осуществляется один раз в год. Ежемесячные выплаты стимулирующего характера руководителям учреждений производятся до 31 декабря текущего года.</w:t>
      </w:r>
    </w:p>
    <w:p w:rsidR="00000000" w:rsidRDefault="0006529C">
      <w:bookmarkStart w:id="31" w:name="sub_36"/>
      <w:bookmarkEnd w:id="30"/>
      <w:r>
        <w:t>3.6. Не использованные в течение календарного года средства премиального фонда на выплаты стимул</w:t>
      </w:r>
      <w:r>
        <w:t>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000000" w:rsidRDefault="0006529C">
      <w:bookmarkStart w:id="32" w:name="sub_37"/>
      <w:bookmarkEnd w:id="31"/>
      <w:r>
        <w:t>3.7. Объем средств, направленный на выплаты стимулирующего характера, не может превышать размера премиального фо</w:t>
      </w:r>
      <w:r>
        <w:t>нда руководителя, установленного приказом начальника управления образования и молодежной политики на текущий финансовый год.</w:t>
      </w:r>
    </w:p>
    <w:bookmarkEnd w:id="32"/>
    <w:p w:rsidR="00000000" w:rsidRDefault="0006529C"/>
    <w:p w:rsidR="00000000" w:rsidRDefault="0006529C">
      <w:pPr>
        <w:pStyle w:val="a8"/>
        <w:rPr>
          <w:color w:val="000000"/>
          <w:sz w:val="16"/>
          <w:szCs w:val="16"/>
        </w:rPr>
      </w:pPr>
      <w:bookmarkStart w:id="3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06529C">
      <w:pPr>
        <w:pStyle w:val="a9"/>
      </w:pPr>
      <w:r>
        <w:t xml:space="preserve">Приложение изменено с 1 января 2019 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Администрации города Рязани от 29 мая 2018 г. N 2054</w:t>
      </w:r>
    </w:p>
    <w:p w:rsidR="00000000" w:rsidRDefault="0006529C">
      <w:pPr>
        <w:pStyle w:val="a9"/>
      </w:pPr>
      <w:hyperlink r:id="rId19" w:history="1">
        <w:r>
          <w:rPr>
            <w:rStyle w:val="a4"/>
          </w:rPr>
          <w:t>См. предыдущую редакцию</w:t>
        </w:r>
      </w:hyperlink>
    </w:p>
    <w:p w:rsidR="00000000" w:rsidRDefault="0006529C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Положению</w:t>
        </w:r>
      </w:hyperlink>
    </w:p>
    <w:p w:rsidR="00000000" w:rsidRDefault="0006529C"/>
    <w:p w:rsidR="00000000" w:rsidRDefault="0006529C">
      <w:pPr>
        <w:pStyle w:val="1"/>
      </w:pPr>
      <w:r>
        <w:t>Целевые показатели</w:t>
      </w:r>
      <w:r>
        <w:br/>
        <w:t xml:space="preserve"> эффективности деятельности учреждений и критерии оцен</w:t>
      </w:r>
      <w:r>
        <w:t>ки эффективности работы руководителей муниципальных общеобразовательных учреждений города Рязани</w:t>
      </w:r>
    </w:p>
    <w:p w:rsidR="00000000" w:rsidRDefault="0006529C"/>
    <w:p w:rsidR="00000000" w:rsidRDefault="0006529C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220"/>
        <w:gridCol w:w="3640"/>
        <w:gridCol w:w="33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lastRenderedPageBreak/>
              <w:t>N 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Целевые показатели деятельности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Критерии оценки деятельности руководителя учреждения в баллах (максимально возможное)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Фо</w:t>
            </w:r>
            <w:r>
              <w:t>рма отчетности, содержащая информацию о выполнении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Периодичность представления отчетности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bookmarkStart w:id="34" w:name="sub_101"/>
            <w:r>
              <w:rPr>
                <w:rStyle w:val="a3"/>
              </w:rPr>
              <w:t>1. Критерий по основной деятельности учреждения</w:t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Достижение высокого качества учебных результатов учащихся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1 - 6 место в рейтинге по данному критерию -10 баллов</w:t>
            </w:r>
          </w:p>
          <w:p w:rsidR="00000000" w:rsidRDefault="0006529C">
            <w:pPr>
              <w:pStyle w:val="ac"/>
            </w:pPr>
            <w:r>
              <w:t>7 - 12 место - 9 баллов</w:t>
            </w:r>
          </w:p>
          <w:p w:rsidR="00000000" w:rsidRDefault="0006529C">
            <w:pPr>
              <w:pStyle w:val="ac"/>
            </w:pPr>
            <w:r>
              <w:t>13 - 18 место - 8 баллов</w:t>
            </w:r>
          </w:p>
          <w:p w:rsidR="00000000" w:rsidRDefault="0006529C">
            <w:pPr>
              <w:pStyle w:val="ac"/>
            </w:pPr>
            <w:r>
              <w:t>19 - 24 место - 7 баллов</w:t>
            </w:r>
          </w:p>
          <w:p w:rsidR="00000000" w:rsidRDefault="0006529C">
            <w:pPr>
              <w:pStyle w:val="ac"/>
            </w:pPr>
            <w:r>
              <w:t>25 - 30 место - 6 баллов</w:t>
            </w:r>
          </w:p>
          <w:p w:rsidR="00000000" w:rsidRDefault="0006529C">
            <w:pPr>
              <w:pStyle w:val="ac"/>
            </w:pPr>
            <w:r>
              <w:t>31 - 36 место - 5 баллов</w:t>
            </w:r>
          </w:p>
          <w:p w:rsidR="00000000" w:rsidRDefault="0006529C">
            <w:pPr>
              <w:pStyle w:val="ac"/>
            </w:pPr>
            <w:r>
              <w:t>37 - 42 место - 4 балла</w:t>
            </w:r>
          </w:p>
          <w:p w:rsidR="00000000" w:rsidRDefault="0006529C">
            <w:pPr>
              <w:pStyle w:val="ac"/>
            </w:pPr>
            <w:r>
              <w:t>43 - 48 место - 3 балла</w:t>
            </w:r>
          </w:p>
          <w:p w:rsidR="00000000" w:rsidRDefault="0006529C">
            <w:pPr>
              <w:pStyle w:val="ac"/>
            </w:pPr>
            <w:r>
              <w:t>49 - 55 место</w:t>
            </w:r>
            <w:r>
              <w:t xml:space="preserve"> - 2 балла</w:t>
            </w:r>
          </w:p>
          <w:p w:rsidR="00000000" w:rsidRDefault="0006529C">
            <w:pPr>
              <w:pStyle w:val="ac"/>
            </w:pPr>
            <w:r>
              <w:t>56 - 60 место - 1 балл</w:t>
            </w:r>
          </w:p>
          <w:p w:rsidR="00000000" w:rsidRDefault="0006529C">
            <w:pPr>
              <w:pStyle w:val="ac"/>
            </w:pPr>
            <w:r>
              <w:t>61 место и ниже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рейтинг учреждений по результатам муниципальной системы оценки качества образования, утверждаемый приказом управления образования и молодежной политики администрации города Рязани (далее - рейтин</w:t>
            </w:r>
            <w:r>
              <w:t>г)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Внеучебные достижения учащихся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1 - 12 место в рейтинге по данному</w:t>
            </w:r>
          </w:p>
          <w:p w:rsidR="00000000" w:rsidRDefault="0006529C">
            <w:pPr>
              <w:pStyle w:val="ac"/>
            </w:pPr>
            <w:r>
              <w:t>критерию - 5 баллов</w:t>
            </w:r>
          </w:p>
          <w:p w:rsidR="00000000" w:rsidRDefault="0006529C">
            <w:pPr>
              <w:pStyle w:val="ac"/>
            </w:pPr>
            <w:r>
              <w:t>13 - 24 место - 4 балла</w:t>
            </w:r>
          </w:p>
          <w:p w:rsidR="00000000" w:rsidRDefault="0006529C">
            <w:pPr>
              <w:pStyle w:val="ac"/>
            </w:pPr>
            <w:r>
              <w:t>25 - 36 место - 3 балла</w:t>
            </w:r>
          </w:p>
          <w:p w:rsidR="00000000" w:rsidRDefault="0006529C">
            <w:pPr>
              <w:pStyle w:val="ac"/>
            </w:pPr>
            <w:r>
              <w:t>37 - 48 место - 2 балла</w:t>
            </w:r>
          </w:p>
          <w:p w:rsidR="00000000" w:rsidRDefault="0006529C">
            <w:pPr>
              <w:pStyle w:val="ac"/>
            </w:pPr>
            <w:r>
              <w:t>49 - 60 место - 1 балл</w:t>
            </w:r>
          </w:p>
          <w:p w:rsidR="00000000" w:rsidRDefault="0006529C">
            <w:pPr>
              <w:pStyle w:val="ac"/>
            </w:pPr>
            <w:r>
              <w:t>61 место и ниже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рейтинг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Инновационная деятельность муниципального общеобразовательного учреждения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1 - 12 место в рейтинге по данному критерию - 5 баллов 13 - 24 место - 4 балла</w:t>
            </w:r>
          </w:p>
          <w:p w:rsidR="00000000" w:rsidRDefault="0006529C">
            <w:pPr>
              <w:pStyle w:val="ac"/>
            </w:pPr>
            <w:r>
              <w:t>25 - 36 место - 3 балла</w:t>
            </w:r>
          </w:p>
          <w:p w:rsidR="00000000" w:rsidRDefault="0006529C">
            <w:pPr>
              <w:pStyle w:val="ac"/>
            </w:pPr>
            <w:r>
              <w:t>37 - 48 место - 2 балла</w:t>
            </w:r>
          </w:p>
          <w:p w:rsidR="00000000" w:rsidRDefault="0006529C">
            <w:pPr>
              <w:pStyle w:val="ac"/>
            </w:pPr>
            <w:r>
              <w:t xml:space="preserve">49 - 60 место - 1 балл 61 </w:t>
            </w:r>
            <w:r>
              <w:lastRenderedPageBreak/>
              <w:t>место и ниже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lastRenderedPageBreak/>
              <w:t>рейтинг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lastRenderedPageBreak/>
              <w:t>1.4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Работа по профилактике правонарушений и дополнительное образование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1 - 12 место в рейтинге по данному</w:t>
            </w:r>
          </w:p>
          <w:p w:rsidR="00000000" w:rsidRDefault="0006529C">
            <w:pPr>
              <w:pStyle w:val="ac"/>
            </w:pPr>
            <w:r>
              <w:t>критерию - 5 баллов</w:t>
            </w:r>
          </w:p>
          <w:p w:rsidR="00000000" w:rsidRDefault="0006529C">
            <w:pPr>
              <w:pStyle w:val="ac"/>
            </w:pPr>
            <w:r>
              <w:t>13 - 24 место - 4 балла</w:t>
            </w:r>
          </w:p>
          <w:p w:rsidR="00000000" w:rsidRDefault="0006529C">
            <w:pPr>
              <w:pStyle w:val="ac"/>
            </w:pPr>
            <w:r>
              <w:t>25 - 36 место - 3 балла</w:t>
            </w:r>
          </w:p>
          <w:p w:rsidR="00000000" w:rsidRDefault="0006529C">
            <w:pPr>
              <w:pStyle w:val="ac"/>
            </w:pPr>
            <w:r>
              <w:t>37 - 48 место - 2 балла</w:t>
            </w:r>
          </w:p>
          <w:p w:rsidR="00000000" w:rsidRDefault="0006529C">
            <w:pPr>
              <w:pStyle w:val="ac"/>
            </w:pPr>
            <w:r>
              <w:t>49 - 60 место - 1 балл</w:t>
            </w:r>
          </w:p>
          <w:p w:rsidR="00000000" w:rsidRDefault="0006529C">
            <w:pPr>
              <w:pStyle w:val="ac"/>
            </w:pPr>
            <w:r>
              <w:t>61 место и ниже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рейтинг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Формирование системы по социализации и самореализации учащихся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1 - 12 место в рейтинге по данному критерию - 5 баллов</w:t>
            </w:r>
          </w:p>
          <w:p w:rsidR="00000000" w:rsidRDefault="0006529C">
            <w:pPr>
              <w:pStyle w:val="ac"/>
            </w:pPr>
            <w:r>
              <w:t>13 - 24 место - 4 балла</w:t>
            </w:r>
          </w:p>
          <w:p w:rsidR="00000000" w:rsidRDefault="0006529C">
            <w:pPr>
              <w:pStyle w:val="ac"/>
            </w:pPr>
            <w:r>
              <w:t>25 - 36 место - 3 балла</w:t>
            </w:r>
          </w:p>
          <w:p w:rsidR="00000000" w:rsidRDefault="0006529C">
            <w:pPr>
              <w:pStyle w:val="ac"/>
            </w:pPr>
            <w:r>
              <w:t>37 - 48 место - 2 балла</w:t>
            </w:r>
          </w:p>
          <w:p w:rsidR="00000000" w:rsidRDefault="0006529C">
            <w:pPr>
              <w:pStyle w:val="ac"/>
            </w:pPr>
            <w:r>
              <w:t>49 - 60 место - 1 балл</w:t>
            </w:r>
          </w:p>
          <w:p w:rsidR="00000000" w:rsidRDefault="0006529C">
            <w:pPr>
              <w:pStyle w:val="ac"/>
            </w:pPr>
            <w:r>
              <w:t>61 место и ниже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рейтинг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Здоровьесбережение в муниципальном общеобразовательном учреждении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1 - 12 место в рейтинге по данному</w:t>
            </w:r>
          </w:p>
          <w:p w:rsidR="00000000" w:rsidRDefault="0006529C">
            <w:pPr>
              <w:pStyle w:val="ac"/>
            </w:pPr>
            <w:r>
              <w:t>критерию - 5 баллов</w:t>
            </w:r>
          </w:p>
          <w:p w:rsidR="00000000" w:rsidRDefault="0006529C">
            <w:pPr>
              <w:pStyle w:val="ac"/>
            </w:pPr>
            <w:r>
              <w:t>13 - 24 место - 4 балла</w:t>
            </w:r>
          </w:p>
          <w:p w:rsidR="00000000" w:rsidRDefault="0006529C">
            <w:pPr>
              <w:pStyle w:val="ac"/>
            </w:pPr>
            <w:r>
              <w:t>25 - 36 место - 3 балла</w:t>
            </w:r>
          </w:p>
          <w:p w:rsidR="00000000" w:rsidRDefault="0006529C">
            <w:pPr>
              <w:pStyle w:val="ac"/>
            </w:pPr>
            <w:r>
              <w:t>37 - 48 место - 2 балла</w:t>
            </w:r>
          </w:p>
          <w:p w:rsidR="00000000" w:rsidRDefault="0006529C">
            <w:pPr>
              <w:pStyle w:val="ac"/>
            </w:pPr>
            <w:r>
              <w:t>49 - 60 место - 1 балл</w:t>
            </w:r>
          </w:p>
          <w:p w:rsidR="00000000" w:rsidRDefault="0006529C">
            <w:pPr>
              <w:pStyle w:val="ac"/>
            </w:pPr>
            <w:r>
              <w:t>61 место и ни</w:t>
            </w:r>
            <w:r>
              <w:t>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рейтинг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Информационная среда муниципального общеобразовательного учреждения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1 - 12 место в рейтинге по данному критерию - 5 баллов 13 - 24 место - 4 балла</w:t>
            </w:r>
          </w:p>
          <w:p w:rsidR="00000000" w:rsidRDefault="0006529C">
            <w:pPr>
              <w:pStyle w:val="ac"/>
            </w:pPr>
            <w:r>
              <w:t>25 - 36 место - 3 балла</w:t>
            </w:r>
          </w:p>
          <w:p w:rsidR="00000000" w:rsidRDefault="0006529C">
            <w:pPr>
              <w:pStyle w:val="ac"/>
            </w:pPr>
            <w:r>
              <w:t>37 - 48 место - 2 балла</w:t>
            </w:r>
          </w:p>
          <w:p w:rsidR="00000000" w:rsidRDefault="0006529C">
            <w:pPr>
              <w:pStyle w:val="ac"/>
            </w:pPr>
            <w:r>
              <w:t>49 - 60 место - 1 балл</w:t>
            </w:r>
          </w:p>
          <w:p w:rsidR="00000000" w:rsidRDefault="0006529C">
            <w:pPr>
              <w:pStyle w:val="ac"/>
            </w:pPr>
            <w:r>
              <w:t>61 место и ниже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рейтинг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 xml:space="preserve">Материально-техническая </w:t>
            </w:r>
            <w:r>
              <w:lastRenderedPageBreak/>
              <w:t>база муниципального общеобразовательного учреждения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lastRenderedPageBreak/>
              <w:t xml:space="preserve">1 - 12 место в рейтинге по </w:t>
            </w:r>
            <w:r>
              <w:lastRenderedPageBreak/>
              <w:t>данному критерию - 5 баллов</w:t>
            </w:r>
          </w:p>
          <w:p w:rsidR="00000000" w:rsidRDefault="0006529C">
            <w:pPr>
              <w:pStyle w:val="ac"/>
            </w:pPr>
            <w:r>
              <w:t>13 - 24 место - 4 балла</w:t>
            </w:r>
          </w:p>
          <w:p w:rsidR="00000000" w:rsidRDefault="0006529C">
            <w:pPr>
              <w:pStyle w:val="ac"/>
            </w:pPr>
            <w:r>
              <w:t>25 - 36 место - 3 балла</w:t>
            </w:r>
          </w:p>
          <w:p w:rsidR="00000000" w:rsidRDefault="0006529C">
            <w:pPr>
              <w:pStyle w:val="ac"/>
            </w:pPr>
            <w:r>
              <w:t>37 - 48 место - 2 балла</w:t>
            </w:r>
          </w:p>
          <w:p w:rsidR="00000000" w:rsidRDefault="0006529C">
            <w:pPr>
              <w:pStyle w:val="ac"/>
            </w:pPr>
            <w:r>
              <w:t>49 - 60 место - 1 балл</w:t>
            </w:r>
          </w:p>
          <w:p w:rsidR="00000000" w:rsidRDefault="0006529C">
            <w:pPr>
              <w:pStyle w:val="ac"/>
            </w:pPr>
            <w:r>
              <w:t>61 место и ниже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lastRenderedPageBreak/>
              <w:t>рейтинг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bookmarkStart w:id="35" w:name="sub_10119"/>
            <w:r>
              <w:lastRenderedPageBreak/>
              <w:t>1.9</w:t>
            </w:r>
            <w:bookmarkEnd w:id="3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Достижение дифференцированного целевого показателя "Охват обучающихся горячим питанием"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достижение показателя - 3 балла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информация управления образования и молодежной политики администрации города Рязани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Размещение информации об организации мероприятий и участии в муниципальных и региональных мероприятиях по профессиональной ор</w:t>
            </w:r>
            <w:r>
              <w:t>иентации на официальном сайте учреждения в сети Интернет и в СМИ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2 балла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обоснованных зарегистрированных жалоб потребителей услуг по основной деятельности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жалоб - 0 баллов наличие жалоб - минус 3 балла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информация управления образования и молодежной политики администрации города Рязани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предписаний контролирующих органов по основной деятельности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предпи</w:t>
            </w:r>
            <w:r>
              <w:t>саний - 0 баллов</w:t>
            </w:r>
          </w:p>
          <w:p w:rsidR="00000000" w:rsidRDefault="0006529C">
            <w:pPr>
              <w:pStyle w:val="ac"/>
            </w:pPr>
            <w:r>
              <w:t>наличие от 1 до 3 предписаний - минус 5 баллов</w:t>
            </w:r>
          </w:p>
          <w:p w:rsidR="00000000" w:rsidRDefault="0006529C">
            <w:pPr>
              <w:pStyle w:val="ac"/>
            </w:pPr>
            <w:r>
              <w:t xml:space="preserve">наличие более 3 предписаний </w:t>
            </w:r>
            <w:r>
              <w:lastRenderedPageBreak/>
              <w:t>- минус 10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lastRenderedPageBreak/>
              <w:t xml:space="preserve">журнал учета проверок юридического лица, индивидуального предпринимателя, проводимых органами </w:t>
            </w:r>
            <w:r>
              <w:lastRenderedPageBreak/>
              <w:t>государственного контроля (надзора), органами муниципального контроля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lastRenderedPageBreak/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lastRenderedPageBreak/>
              <w:t xml:space="preserve">Совокупная значимость всех критериев в баллах по </w:t>
            </w:r>
            <w:hyperlink w:anchor="sub_101" w:history="1">
              <w:r>
                <w:rPr>
                  <w:rStyle w:val="a4"/>
                </w:rPr>
                <w:t>1 разделу</w:t>
              </w:r>
            </w:hyperlink>
            <w:r>
              <w:t>; 50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bookmarkStart w:id="36" w:name="sub_102"/>
            <w:r>
              <w:rPr>
                <w:rStyle w:val="a3"/>
              </w:rPr>
              <w:t>2. Критерии по финансово-экономической деятельности, исполнительской дисциплине учреждения</w:t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Выполнение планового объема оказываемых муниципальных услуг и работ (в натуральных показателях), установленного муниципальным заданием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100% и выше - 10 баллов</w:t>
            </w:r>
          </w:p>
          <w:p w:rsidR="00000000" w:rsidRDefault="0006529C">
            <w:pPr>
              <w:pStyle w:val="ac"/>
            </w:pPr>
            <w:r>
              <w:t>от 90% до 99% - 5 баллов ниже 90%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2.2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замечаний по результатам проверок финансово-экономической деятельности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предписаний - 0 баллов</w:t>
            </w:r>
          </w:p>
          <w:p w:rsidR="00000000" w:rsidRDefault="0006529C">
            <w:pPr>
              <w:pStyle w:val="ac"/>
            </w:pPr>
            <w:r>
              <w:t>наличие от 1 до 3 замечаний - минус 5 баллов наличие более 3 замечаний - минус 10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информация управления образования и моло</w:t>
            </w:r>
            <w:r>
              <w:t>дежной политики администрации города Рязани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2.3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на конец года остатков бюджетных средств на лицевом счете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- 10 баллов, наличие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информация управления образования и молодежной политики администрации город</w:t>
            </w:r>
            <w:r>
              <w:t>а Рязани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2.4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Соблюдение сроков и порядка предоставления всех видов отчетности, информации по отдельным запросам управления образования и молодежной политики администрации города Рязани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соблюдение - 10 баллов наличие от 1 до 3 замечаний - минус 5 баллов</w:t>
            </w:r>
          </w:p>
          <w:p w:rsidR="00000000" w:rsidRDefault="0006529C">
            <w:pPr>
              <w:pStyle w:val="ac"/>
            </w:pPr>
            <w:r>
              <w:t>наличие более 3 замечаний - минус 10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информация управления образования и молодежной политики администрации города Рязани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t xml:space="preserve">Совокупная значимость всех критериев в баллах по </w:t>
            </w:r>
            <w:hyperlink w:anchor="sub_102" w:history="1">
              <w:r>
                <w:rPr>
                  <w:rStyle w:val="a4"/>
                </w:rPr>
                <w:t>2 разделу</w:t>
              </w:r>
            </w:hyperlink>
            <w:r>
              <w:t>; 30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bookmarkStart w:id="37" w:name="sub_103"/>
            <w:r>
              <w:rPr>
                <w:rStyle w:val="a3"/>
              </w:rPr>
              <w:lastRenderedPageBreak/>
              <w:t>3. Критерии по деятельности учреждения, направленные на работу с кадрами</w:t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Укомплектованность штатов педагогических работников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 95% до 100% - 4 балла</w:t>
            </w:r>
          </w:p>
          <w:p w:rsidR="00000000" w:rsidRDefault="0006529C">
            <w:pPr>
              <w:pStyle w:val="ac"/>
            </w:pPr>
            <w:r>
              <w:t>от 90% до 94% - 2 балла</w:t>
            </w:r>
          </w:p>
          <w:p w:rsidR="00000000" w:rsidRDefault="0006529C">
            <w:pPr>
              <w:pStyle w:val="ac"/>
            </w:pPr>
            <w:r>
              <w:t>ниже 90%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Доля педагогических работников, имеющих высшую и первую квалификационные категории, в общей численности педагогических работников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от 70% до 100% - 4 балла</w:t>
            </w:r>
          </w:p>
          <w:p w:rsidR="00000000" w:rsidRDefault="0006529C">
            <w:pPr>
              <w:pStyle w:val="ac"/>
            </w:pPr>
            <w:r>
              <w:t>от 50% до 69% - 3 балла</w:t>
            </w:r>
          </w:p>
          <w:p w:rsidR="00000000" w:rsidRDefault="0006529C">
            <w:pPr>
              <w:pStyle w:val="ac"/>
            </w:pPr>
            <w:r>
              <w:t>от 30% до 49% - 2 балла</w:t>
            </w:r>
          </w:p>
          <w:p w:rsidR="00000000" w:rsidRDefault="0006529C">
            <w:pPr>
              <w:pStyle w:val="ac"/>
            </w:pPr>
            <w:r>
              <w:t>от 10% до 29% - 1 балл</w:t>
            </w:r>
          </w:p>
          <w:p w:rsidR="00000000" w:rsidRDefault="0006529C">
            <w:pPr>
              <w:pStyle w:val="ac"/>
            </w:pPr>
            <w:r>
              <w:t>ниже 10%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3.3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Доля педагогических работников со стажем работы свыше 3 лет, прошедших курсы повышения квалификации или профессиональную переподготовку за последние 3 года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 90% до 100% - 4 балла от 50% до 89% - 2 балла ниже 50%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3.4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Доля педагогических работников в возрасте до 35 лет в общей численности педагогических работников учреждения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10% и выше - 4 балла</w:t>
            </w:r>
          </w:p>
          <w:p w:rsidR="00000000" w:rsidRDefault="0006529C">
            <w:pPr>
              <w:pStyle w:val="ac"/>
            </w:pPr>
            <w:r>
              <w:t>до 10% - 2 балла</w:t>
            </w:r>
          </w:p>
          <w:p w:rsidR="00000000" w:rsidRDefault="0006529C">
            <w:pPr>
              <w:pStyle w:val="ac"/>
            </w:pPr>
            <w:r>
              <w:t>0%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3.5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Наличие участников и призеров муниципальных и региональных конкурсов профессионального мастерства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наличие призеров - 4 балла наличие участников - 2 балла отсутствие участников - 0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3.6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 xml:space="preserve">Отсутствие предписаний </w:t>
            </w:r>
            <w:r>
              <w:lastRenderedPageBreak/>
              <w:t>контролирующих органов по организации работы с кадрами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lastRenderedPageBreak/>
              <w:t xml:space="preserve">отсутствие предписаний - 0 </w:t>
            </w:r>
            <w:r>
              <w:lastRenderedPageBreak/>
              <w:t>баллов</w:t>
            </w:r>
          </w:p>
          <w:p w:rsidR="00000000" w:rsidRDefault="0006529C">
            <w:pPr>
              <w:pStyle w:val="ac"/>
            </w:pPr>
            <w:r>
              <w:t>наличие от 1 до 3 предписаний - минус 3 балла</w:t>
            </w:r>
          </w:p>
          <w:p w:rsidR="00000000" w:rsidRDefault="0006529C">
            <w:pPr>
              <w:pStyle w:val="ac"/>
            </w:pPr>
            <w:r>
              <w:t>наличие более 3 предписаний - минус 5 баллов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lastRenderedPageBreak/>
              <w:t xml:space="preserve">журнал учета проверок </w:t>
            </w:r>
            <w:r>
              <w:lastRenderedPageBreak/>
              <w:t>юридического лица, индивидуальн</w:t>
            </w:r>
            <w:r>
              <w:t>ого предпринимателя, проводимых органами государственного контроля (надзора), органами муниципального контроля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lastRenderedPageBreak/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lastRenderedPageBreak/>
              <w:t xml:space="preserve">Совокупная значимость всех критериев в баллах по </w:t>
            </w:r>
            <w:hyperlink w:anchor="sub_103" w:history="1">
              <w:r>
                <w:rPr>
                  <w:rStyle w:val="a4"/>
                </w:rPr>
                <w:t>3 разделу</w:t>
              </w:r>
            </w:hyperlink>
            <w:r>
              <w:t>: 20 баллов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t>Совокупность всех критериев по трем разделам (итого): 100 баллов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bookmarkStart w:id="38" w:name="sub_104"/>
            <w:r>
              <w:rPr>
                <w:rStyle w:val="a3"/>
              </w:rPr>
              <w:t>4. Критерии оценки деятельности учреждения по организации приносящей доход деятельности (платных услуг)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4.1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Доля средств, поступивших от приносящей доход деятельности, направленная в отчетном периоде на развитие учреждения (ремонт здания и оборудования, увеличение стоимости основных средств, противопожарные мероприятия)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30% и выше - 1%,</w:t>
            </w:r>
          </w:p>
          <w:p w:rsidR="00000000" w:rsidRDefault="0006529C">
            <w:pPr>
              <w:pStyle w:val="ac"/>
            </w:pPr>
            <w:r>
              <w:t>до 30% - 0%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</w:t>
            </w:r>
            <w:r>
              <w:t>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Доля обучающихся, получающих платные дополнительные образовательные услуги, в общей численности обучающихся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80% и выше - 2%,</w:t>
            </w:r>
          </w:p>
          <w:p w:rsidR="00000000" w:rsidRDefault="0006529C">
            <w:pPr>
              <w:pStyle w:val="ac"/>
            </w:pPr>
            <w:r>
              <w:t>от 50% до 79% - 1%,</w:t>
            </w:r>
          </w:p>
          <w:p w:rsidR="00000000" w:rsidRDefault="0006529C">
            <w:pPr>
              <w:pStyle w:val="ac"/>
            </w:pPr>
            <w:r>
              <w:t>до 50% - 0%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6529C">
            <w:pPr>
              <w:pStyle w:val="ac"/>
            </w:pPr>
            <w:r>
              <w:t>доклад руководителя учреждения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t>4.3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 xml:space="preserve">Замечания по актам проверок организации приносящей доход </w:t>
            </w:r>
            <w:r>
              <w:lastRenderedPageBreak/>
              <w:t>деятельности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lastRenderedPageBreak/>
              <w:t>отсутствие - 1%,</w:t>
            </w:r>
          </w:p>
          <w:p w:rsidR="00000000" w:rsidRDefault="0006529C">
            <w:pPr>
              <w:pStyle w:val="ac"/>
            </w:pPr>
            <w:r>
              <w:t>наличие - минус 1%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 xml:space="preserve">информация управления образования и молодежной политики администрации </w:t>
            </w:r>
            <w:r>
              <w:lastRenderedPageBreak/>
              <w:t>города Рязани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lastRenderedPageBreak/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529C">
            <w:pPr>
              <w:pStyle w:val="ac"/>
            </w:pPr>
            <w:r>
              <w:lastRenderedPageBreak/>
              <w:t>4.4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Обосно</w:t>
            </w:r>
            <w:r>
              <w:t>ванные жалобы потребителей на оказание платных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отсутствие -1%,</w:t>
            </w:r>
          </w:p>
          <w:p w:rsidR="00000000" w:rsidRDefault="0006529C">
            <w:pPr>
              <w:pStyle w:val="ac"/>
            </w:pPr>
            <w:r>
              <w:t>наличие - минус 1% на каждую жалобу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6529C">
            <w:pPr>
              <w:pStyle w:val="ac"/>
            </w:pPr>
            <w:r>
              <w:t>информация управления образования и молодежной политики администрации города Рязани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6529C">
            <w:pPr>
              <w:pStyle w:val="ac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5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529C">
            <w:pPr>
              <w:pStyle w:val="ac"/>
            </w:pPr>
            <w:r>
              <w:t xml:space="preserve">Совокупная значимость всех критериев в процентах по </w:t>
            </w:r>
            <w:hyperlink w:anchor="sub_104" w:history="1">
              <w:r>
                <w:rPr>
                  <w:rStyle w:val="a4"/>
                </w:rPr>
                <w:t>разделу 4</w:t>
              </w:r>
            </w:hyperlink>
            <w:r>
              <w:t>: 5%</w:t>
            </w:r>
          </w:p>
        </w:tc>
      </w:tr>
    </w:tbl>
    <w:p w:rsidR="00000000" w:rsidRDefault="0006529C"/>
    <w:p w:rsidR="00000000" w:rsidRDefault="0006529C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6529C">
      <w:r>
        <w:lastRenderedPageBreak/>
        <w:t>______________________________</w:t>
      </w:r>
    </w:p>
    <w:p w:rsidR="00000000" w:rsidRDefault="0006529C">
      <w:bookmarkStart w:id="39" w:name="sub_1111"/>
      <w:r>
        <w:t>* - данный показатель определяется в соответстви</w:t>
      </w:r>
      <w:r>
        <w:t>и с муниципальной системой оценки качества образования, утверждаемой приказом управления образования и молодежной политики администрации города Рязани.</w:t>
      </w:r>
    </w:p>
    <w:p w:rsidR="00000000" w:rsidRDefault="0006529C">
      <w:bookmarkStart w:id="40" w:name="sub_2222"/>
      <w:bookmarkEnd w:id="39"/>
      <w:r>
        <w:t>** - если расчетная величина баллов на выплаты стимулирующего характера руководителю при</w:t>
      </w:r>
      <w:r>
        <w:t>нимает отрицательное значение, считать данную величину равной 0.</w:t>
      </w:r>
    </w:p>
    <w:p w:rsidR="00000000" w:rsidRDefault="0006529C">
      <w:bookmarkStart w:id="41" w:name="sub_3333"/>
      <w:bookmarkEnd w:id="40"/>
      <w:r>
        <w:t>*** - показатели эффективности деятельности учреждений оцениваются при наличии средств от приносящей доход деятельности (платных услуг) в отчетном периоде в достаточном размер</w:t>
      </w:r>
      <w:r>
        <w:t>е. Если расчетная величина процента на оплату труда руководителя принимает отрицательное значение, считать данную величину равной 0.</w:t>
      </w:r>
    </w:p>
    <w:bookmarkEnd w:id="41"/>
    <w:p w:rsidR="00000000" w:rsidRDefault="0006529C"/>
    <w:sectPr w:rsidR="0000000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529C"/>
    <w:rsid w:val="0006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881778.39" TargetMode="External"/><Relationship Id="rId13" Type="http://schemas.openxmlformats.org/officeDocument/2006/relationships/hyperlink" Target="garantF1://36076355.1" TargetMode="External"/><Relationship Id="rId18" Type="http://schemas.openxmlformats.org/officeDocument/2006/relationships/hyperlink" Target="garantF1://46066852.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36019162.0" TargetMode="External"/><Relationship Id="rId12" Type="http://schemas.openxmlformats.org/officeDocument/2006/relationships/hyperlink" Target="garantF1://36096280.0" TargetMode="External"/><Relationship Id="rId17" Type="http://schemas.openxmlformats.org/officeDocument/2006/relationships/hyperlink" Target="garantF1://27680881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6066852.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6019162.1000" TargetMode="External"/><Relationship Id="rId11" Type="http://schemas.openxmlformats.org/officeDocument/2006/relationships/hyperlink" Target="garantF1://36087263.0" TargetMode="External"/><Relationship Id="rId5" Type="http://schemas.openxmlformats.org/officeDocument/2006/relationships/hyperlink" Target="garantF1://46027074.0" TargetMode="External"/><Relationship Id="rId15" Type="http://schemas.openxmlformats.org/officeDocument/2006/relationships/hyperlink" Target="garantF1://46027075.0" TargetMode="External"/><Relationship Id="rId10" Type="http://schemas.openxmlformats.org/officeDocument/2006/relationships/hyperlink" Target="garantF1://36074926.0" TargetMode="External"/><Relationship Id="rId19" Type="http://schemas.openxmlformats.org/officeDocument/2006/relationships/hyperlink" Target="garantF1://27680882.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6881778.41" TargetMode="External"/><Relationship Id="rId14" Type="http://schemas.openxmlformats.org/officeDocument/2006/relationships/hyperlink" Target="garantF1://2763014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3153</Words>
  <Characters>17975</Characters>
  <Application>Microsoft Office Word</Application>
  <DocSecurity>4</DocSecurity>
  <Lines>149</Lines>
  <Paragraphs>42</Paragraphs>
  <ScaleCrop>false</ScaleCrop>
  <Company>НПП "Гарант-Сервис"</Company>
  <LinksUpToDate>false</LinksUpToDate>
  <CharactersWithSpaces>21086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Room202-1</cp:lastModifiedBy>
  <cp:revision>2</cp:revision>
  <dcterms:created xsi:type="dcterms:W3CDTF">2021-02-01T12:42:00Z</dcterms:created>
  <dcterms:modified xsi:type="dcterms:W3CDTF">2021-02-01T12:42:00Z</dcterms:modified>
</cp:coreProperties>
</file>